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A391B" w14:textId="77777777" w:rsidR="00BA6FF1" w:rsidRDefault="00CA5B1B">
      <w:pPr>
        <w:pStyle w:val="Heading3"/>
      </w:pPr>
      <w:bookmarkStart w:id="0" w:name="_Toc194420103"/>
      <w:bookmarkStart w:id="1" w:name="_GoBack"/>
      <w:bookmarkEnd w:id="1"/>
      <w:r>
        <w:t>1</w:t>
      </w:r>
      <w:r>
        <w:tab/>
        <w:t>Derbyshire Unemployed Workers Centres Equality and Diversity statement</w:t>
      </w:r>
      <w:bookmarkStart w:id="2" w:name="_Toc194420104"/>
      <w:bookmarkEnd w:id="0"/>
      <w:r>
        <w:t>.</w:t>
      </w:r>
    </w:p>
    <w:p w14:paraId="70BA391C" w14:textId="77777777" w:rsidR="00BA6FF1" w:rsidRDefault="00CA5B1B">
      <w:pPr>
        <w:pStyle w:val="Heading3"/>
      </w:pPr>
      <w:r>
        <w:t>2</w:t>
      </w:r>
      <w:r>
        <w:tab/>
        <w:t>Statement of Intent</w:t>
      </w:r>
      <w:bookmarkEnd w:id="2"/>
    </w:p>
    <w:p w14:paraId="70BA391D" w14:textId="77777777" w:rsidR="00BA6FF1" w:rsidRDefault="00BA6FF1">
      <w:pPr>
        <w:pStyle w:val="Standard"/>
      </w:pPr>
    </w:p>
    <w:p w14:paraId="70BA391E" w14:textId="77777777" w:rsidR="00BA6FF1" w:rsidRDefault="00CA5B1B">
      <w:pPr>
        <w:pStyle w:val="Standard"/>
      </w:pPr>
      <w:r>
        <w:t>Derbyshire Unemployed Workers Centres (DUWC) is committed to achieving social justice and equality through providing its services for t</w:t>
      </w:r>
      <w:r>
        <w:rPr>
          <w:bCs/>
          <w:iCs/>
        </w:rPr>
        <w:t>he relief of poverty as a result of unemployment or other social or economic circumstances among the inhabitants of Derbyshire and surrounding areas by the provision of advice, information, advocacy, training and when necessary, legal representation.</w:t>
      </w:r>
    </w:p>
    <w:p w14:paraId="70BA391F" w14:textId="77777777" w:rsidR="00BA6FF1" w:rsidRDefault="00BA6FF1">
      <w:pPr>
        <w:pStyle w:val="Standard"/>
      </w:pPr>
    </w:p>
    <w:p w14:paraId="70BA3920" w14:textId="77777777" w:rsidR="00BA6FF1" w:rsidRDefault="00CA5B1B">
      <w:pPr>
        <w:pStyle w:val="Standard"/>
      </w:pPr>
      <w:r>
        <w:t>DUWC is committed to promoting equality and valuing diversity in all areas of its operations by:</w:t>
      </w:r>
    </w:p>
    <w:p w14:paraId="70BA3921" w14:textId="77777777" w:rsidR="00BA6FF1" w:rsidRDefault="00BA6FF1">
      <w:pPr>
        <w:pStyle w:val="Standard"/>
      </w:pPr>
    </w:p>
    <w:p w14:paraId="70BA3922" w14:textId="77777777" w:rsidR="00BA6FF1" w:rsidRDefault="00CA5B1B">
      <w:pPr>
        <w:pStyle w:val="Standard"/>
        <w:numPr>
          <w:ilvl w:val="0"/>
          <w:numId w:val="32"/>
        </w:numPr>
      </w:pPr>
      <w:r>
        <w:t>Promoting equality of opportunity</w:t>
      </w:r>
    </w:p>
    <w:p w14:paraId="70BA3923" w14:textId="77777777" w:rsidR="00BA6FF1" w:rsidRDefault="00CA5B1B">
      <w:pPr>
        <w:pStyle w:val="Standard"/>
        <w:numPr>
          <w:ilvl w:val="0"/>
          <w:numId w:val="8"/>
        </w:numPr>
      </w:pPr>
      <w:r>
        <w:t>Eliminating discrimination</w:t>
      </w:r>
    </w:p>
    <w:p w14:paraId="70BA3924" w14:textId="77777777" w:rsidR="00BA6FF1" w:rsidRDefault="00CA5B1B">
      <w:pPr>
        <w:pStyle w:val="Standard"/>
        <w:numPr>
          <w:ilvl w:val="0"/>
          <w:numId w:val="8"/>
        </w:numPr>
      </w:pPr>
      <w:r>
        <w:t>Eliminating harassment and victimisation</w:t>
      </w:r>
    </w:p>
    <w:p w14:paraId="70BA3925" w14:textId="77777777" w:rsidR="00BA6FF1" w:rsidRDefault="00CA5B1B">
      <w:pPr>
        <w:pStyle w:val="Standard"/>
        <w:numPr>
          <w:ilvl w:val="0"/>
          <w:numId w:val="8"/>
        </w:numPr>
      </w:pPr>
      <w:r>
        <w:t>Promoting good community relations / positive attitudes</w:t>
      </w:r>
    </w:p>
    <w:p w14:paraId="70BA3926" w14:textId="77777777" w:rsidR="00BA6FF1" w:rsidRDefault="00CA5B1B">
      <w:pPr>
        <w:pStyle w:val="Standard"/>
        <w:numPr>
          <w:ilvl w:val="0"/>
          <w:numId w:val="8"/>
        </w:numPr>
      </w:pPr>
      <w:r>
        <w:t>Encourage participation</w:t>
      </w:r>
    </w:p>
    <w:p w14:paraId="70BA3927" w14:textId="77777777" w:rsidR="00BA6FF1" w:rsidRDefault="00CA5B1B">
      <w:pPr>
        <w:pStyle w:val="Standard"/>
        <w:numPr>
          <w:ilvl w:val="0"/>
          <w:numId w:val="8"/>
        </w:numPr>
      </w:pPr>
      <w:r>
        <w:t>Favourable treatment / positive action for those from under represented or</w:t>
      </w:r>
    </w:p>
    <w:p w14:paraId="70BA3928" w14:textId="77777777" w:rsidR="00BA6FF1" w:rsidRDefault="00CA5B1B">
      <w:pPr>
        <w:pStyle w:val="ListParagraph"/>
        <w:numPr>
          <w:ilvl w:val="0"/>
          <w:numId w:val="8"/>
        </w:numPr>
      </w:pPr>
      <w:r>
        <w:t>Disadvantaged groups</w:t>
      </w:r>
    </w:p>
    <w:p w14:paraId="70BA3929" w14:textId="77777777" w:rsidR="00BA6FF1" w:rsidRDefault="00CA5B1B">
      <w:pPr>
        <w:pStyle w:val="Standard"/>
        <w:numPr>
          <w:ilvl w:val="0"/>
          <w:numId w:val="8"/>
        </w:numPr>
      </w:pPr>
      <w:r>
        <w:t>Increasing community awareness of equality, diversity and discrimination</w:t>
      </w:r>
    </w:p>
    <w:p w14:paraId="70BA392A" w14:textId="77777777" w:rsidR="00BA6FF1" w:rsidRDefault="00CA5B1B">
      <w:pPr>
        <w:pStyle w:val="ListParagraph"/>
      </w:pPr>
      <w:r>
        <w:t>issues.</w:t>
      </w:r>
    </w:p>
    <w:p w14:paraId="70BA392B" w14:textId="77777777" w:rsidR="00BA6FF1" w:rsidRDefault="00BA6FF1">
      <w:pPr>
        <w:pStyle w:val="Standard"/>
      </w:pPr>
    </w:p>
    <w:p w14:paraId="70BA392C" w14:textId="77777777" w:rsidR="00BA6FF1" w:rsidRDefault="00CA5B1B">
      <w:pPr>
        <w:pStyle w:val="Standard"/>
      </w:pPr>
      <w:r>
        <w:t>DUWC recognises that in this society groups and individuals have been and continue to be discriminated against on the grounds of, for example, their:</w:t>
      </w:r>
    </w:p>
    <w:p w14:paraId="70BA392D" w14:textId="77777777" w:rsidR="00BA6FF1" w:rsidRDefault="00BA6FF1">
      <w:pPr>
        <w:pStyle w:val="Standard"/>
      </w:pPr>
    </w:p>
    <w:p w14:paraId="70BA392E" w14:textId="77777777" w:rsidR="00BA6FF1" w:rsidRDefault="00CA5B1B">
      <w:pPr>
        <w:pStyle w:val="ListParagraph"/>
        <w:numPr>
          <w:ilvl w:val="0"/>
          <w:numId w:val="33"/>
        </w:numPr>
      </w:pPr>
      <w:r>
        <w:t>Age,</w:t>
      </w:r>
    </w:p>
    <w:p w14:paraId="70BA392F" w14:textId="77777777" w:rsidR="00BA6FF1" w:rsidRDefault="00CA5B1B">
      <w:pPr>
        <w:pStyle w:val="ListParagraph"/>
        <w:numPr>
          <w:ilvl w:val="0"/>
          <w:numId w:val="27"/>
        </w:numPr>
      </w:pPr>
      <w:r>
        <w:t>Association with a person who possess a protected characteristic,</w:t>
      </w:r>
    </w:p>
    <w:p w14:paraId="70BA3930" w14:textId="77777777" w:rsidR="00BA6FF1" w:rsidRDefault="00924AFA">
      <w:pPr>
        <w:pStyle w:val="ListParagraph"/>
        <w:numPr>
          <w:ilvl w:val="0"/>
          <w:numId w:val="27"/>
        </w:numPr>
      </w:pPr>
      <w:r>
        <w:t>Caring responsibilities,</w:t>
      </w:r>
    </w:p>
    <w:p w14:paraId="70BA3931" w14:textId="77777777" w:rsidR="00BA6FF1" w:rsidRDefault="00CA5B1B">
      <w:pPr>
        <w:pStyle w:val="ListParagraph"/>
        <w:numPr>
          <w:ilvl w:val="0"/>
          <w:numId w:val="27"/>
        </w:numPr>
      </w:pPr>
      <w:r>
        <w:t>Disability,</w:t>
      </w:r>
    </w:p>
    <w:p w14:paraId="70BA3932" w14:textId="77777777" w:rsidR="00BA6FF1" w:rsidRDefault="00CA5B1B">
      <w:pPr>
        <w:pStyle w:val="ListParagraph"/>
        <w:numPr>
          <w:ilvl w:val="0"/>
          <w:numId w:val="27"/>
        </w:numPr>
      </w:pPr>
      <w:r>
        <w:t>Gender reassignment,</w:t>
      </w:r>
    </w:p>
    <w:p w14:paraId="70BA3933" w14:textId="77777777" w:rsidR="00BA6FF1" w:rsidRDefault="00CA5B1B">
      <w:pPr>
        <w:pStyle w:val="ListParagraph"/>
        <w:numPr>
          <w:ilvl w:val="0"/>
          <w:numId w:val="27"/>
        </w:numPr>
      </w:pPr>
      <w:r>
        <w:t>Race (including nationality, colour, ethnic or national origins),</w:t>
      </w:r>
    </w:p>
    <w:p w14:paraId="70BA3934" w14:textId="77777777" w:rsidR="00BA6FF1" w:rsidRDefault="00CA5B1B">
      <w:pPr>
        <w:pStyle w:val="ListParagraph"/>
        <w:numPr>
          <w:ilvl w:val="0"/>
          <w:numId w:val="27"/>
        </w:numPr>
      </w:pPr>
      <w:r>
        <w:t>Religion or belief (including those that are non-religious),</w:t>
      </w:r>
    </w:p>
    <w:p w14:paraId="70BA3935" w14:textId="77777777" w:rsidR="00BA6FF1" w:rsidRDefault="00CA5B1B">
      <w:pPr>
        <w:pStyle w:val="ListParagraph"/>
        <w:numPr>
          <w:ilvl w:val="0"/>
          <w:numId w:val="27"/>
        </w:numPr>
      </w:pPr>
      <w:r>
        <w:t>Sex (including marital status, pregnancy, maternity and paternity),</w:t>
      </w:r>
    </w:p>
    <w:p w14:paraId="70BA3936" w14:textId="77777777" w:rsidR="00BA6FF1" w:rsidRDefault="00CA5B1B">
      <w:pPr>
        <w:pStyle w:val="ListParagraph"/>
        <w:numPr>
          <w:ilvl w:val="0"/>
          <w:numId w:val="27"/>
        </w:numPr>
      </w:pPr>
      <w:r>
        <w:t>Sexual orientation (including civil partnership status),</w:t>
      </w:r>
    </w:p>
    <w:p w14:paraId="70BA3937" w14:textId="77777777" w:rsidR="00BA6FF1" w:rsidRDefault="00CA5B1B">
      <w:pPr>
        <w:pStyle w:val="ListParagraph"/>
        <w:numPr>
          <w:ilvl w:val="0"/>
          <w:numId w:val="27"/>
        </w:numPr>
      </w:pPr>
      <w:r>
        <w:t>S</w:t>
      </w:r>
      <w:r w:rsidR="00924AFA">
        <w:t xml:space="preserve">ocio-economic status (class), </w:t>
      </w:r>
    </w:p>
    <w:p w14:paraId="70BA3938" w14:textId="77777777" w:rsidR="00BA6FF1" w:rsidRDefault="00CA5B1B">
      <w:pPr>
        <w:pStyle w:val="ListParagraph"/>
        <w:numPr>
          <w:ilvl w:val="0"/>
          <w:numId w:val="27"/>
        </w:numPr>
      </w:pPr>
      <w:r>
        <w:t>Offending background.</w:t>
      </w:r>
    </w:p>
    <w:p w14:paraId="70BA3939" w14:textId="77777777" w:rsidR="00BA6FF1" w:rsidRDefault="00BA6FF1">
      <w:pPr>
        <w:pStyle w:val="Standard"/>
      </w:pPr>
    </w:p>
    <w:p w14:paraId="70BA393A" w14:textId="77777777" w:rsidR="00BA6FF1" w:rsidRDefault="00CA5B1B">
      <w:pPr>
        <w:pStyle w:val="Heading3"/>
      </w:pPr>
      <w:bookmarkStart w:id="3" w:name="_Toc194420105"/>
      <w:r>
        <w:t>3</w:t>
      </w:r>
      <w:r>
        <w:tab/>
        <w:t>What this Policy covers</w:t>
      </w:r>
      <w:bookmarkEnd w:id="3"/>
    </w:p>
    <w:p w14:paraId="70BA393B" w14:textId="77777777" w:rsidR="00BA6FF1" w:rsidRDefault="00BA6FF1">
      <w:pPr>
        <w:pStyle w:val="Standard"/>
      </w:pPr>
    </w:p>
    <w:p w14:paraId="70BA393C" w14:textId="77777777" w:rsidR="00BA6FF1" w:rsidRDefault="00CA5B1B">
      <w:pPr>
        <w:pStyle w:val="Standard"/>
      </w:pPr>
      <w:r>
        <w:t xml:space="preserve">This policy aims to cover all aspects of DUWC’s operations:  </w:t>
      </w:r>
    </w:p>
    <w:p w14:paraId="70BA393D" w14:textId="77777777" w:rsidR="00BA6FF1" w:rsidRDefault="00BA6FF1">
      <w:pPr>
        <w:pStyle w:val="Standard"/>
      </w:pPr>
    </w:p>
    <w:p w14:paraId="70BA393E" w14:textId="77777777" w:rsidR="00BA6FF1" w:rsidRDefault="00CA5B1B">
      <w:pPr>
        <w:pStyle w:val="ListParagraph"/>
        <w:numPr>
          <w:ilvl w:val="0"/>
          <w:numId w:val="34"/>
        </w:numPr>
      </w:pPr>
      <w:r>
        <w:t>Membership of the organisation</w:t>
      </w:r>
    </w:p>
    <w:p w14:paraId="70BA393F" w14:textId="77777777" w:rsidR="00BA6FF1" w:rsidRDefault="00CA5B1B">
      <w:pPr>
        <w:pStyle w:val="ListParagraph"/>
        <w:numPr>
          <w:ilvl w:val="0"/>
          <w:numId w:val="28"/>
        </w:numPr>
      </w:pPr>
      <w:r>
        <w:t>Board of Trustees</w:t>
      </w:r>
    </w:p>
    <w:p w14:paraId="70BA3940" w14:textId="77777777" w:rsidR="00BA6FF1" w:rsidRDefault="00CA5B1B">
      <w:pPr>
        <w:pStyle w:val="ListParagraph"/>
        <w:numPr>
          <w:ilvl w:val="0"/>
          <w:numId w:val="28"/>
        </w:numPr>
      </w:pPr>
      <w:r>
        <w:t>Employment policy and procedures (please also refer to specific policy)</w:t>
      </w:r>
    </w:p>
    <w:p w14:paraId="70BA3941" w14:textId="77777777" w:rsidR="00BA6FF1" w:rsidRDefault="00CA5B1B">
      <w:pPr>
        <w:pStyle w:val="ListParagraph"/>
        <w:numPr>
          <w:ilvl w:val="0"/>
          <w:numId w:val="28"/>
        </w:numPr>
      </w:pPr>
      <w:r>
        <w:lastRenderedPageBreak/>
        <w:t>Service delivery to ensure services are accessible to all groups and individuals</w:t>
      </w:r>
    </w:p>
    <w:p w14:paraId="70BA3942" w14:textId="77777777" w:rsidR="00BA6FF1" w:rsidRDefault="00CA5B1B">
      <w:pPr>
        <w:pStyle w:val="ListParagraph"/>
        <w:numPr>
          <w:ilvl w:val="0"/>
          <w:numId w:val="28"/>
        </w:numPr>
      </w:pPr>
      <w:r>
        <w:t>Working with contractors and suppliers.</w:t>
      </w:r>
    </w:p>
    <w:p w14:paraId="70BA3943" w14:textId="77777777" w:rsidR="00BA6FF1" w:rsidRDefault="00BA6FF1">
      <w:pPr>
        <w:pStyle w:val="Standard"/>
        <w:ind w:left="426" w:hanging="720"/>
      </w:pPr>
    </w:p>
    <w:p w14:paraId="70BA3944" w14:textId="77777777" w:rsidR="00BA6FF1" w:rsidRDefault="00BA6FF1">
      <w:pPr>
        <w:pStyle w:val="Standard"/>
      </w:pPr>
    </w:p>
    <w:p w14:paraId="70BA3945" w14:textId="77777777" w:rsidR="00BA6FF1" w:rsidRDefault="00CA5B1B">
      <w:pPr>
        <w:pStyle w:val="ListParagraph"/>
        <w:numPr>
          <w:ilvl w:val="0"/>
          <w:numId w:val="35"/>
        </w:numPr>
        <w:ind w:hanging="720"/>
      </w:pPr>
      <w:r>
        <w:rPr>
          <w:b/>
        </w:rPr>
        <w:t>Implementation and monitoring Equality and Diversity policy</w:t>
      </w:r>
    </w:p>
    <w:p w14:paraId="70BA3946" w14:textId="77777777" w:rsidR="00BA6FF1" w:rsidRDefault="00CA5B1B">
      <w:pPr>
        <w:pStyle w:val="Standard"/>
      </w:pPr>
      <w:r>
        <w:t>The Co-ordinator is responsible for the co-ordination, implementation and monitoring of our Equality and Diversity policy. The Trustees will lead a review of this policy not less than every five years. This will ensure that appropriate action is taken in relation to identify non-compliance under this policy or barriers to equality.</w:t>
      </w:r>
    </w:p>
    <w:p w14:paraId="70BA3947" w14:textId="77777777" w:rsidR="00BA6FF1" w:rsidRDefault="00BA6FF1">
      <w:pPr>
        <w:pStyle w:val="Standard"/>
      </w:pPr>
    </w:p>
    <w:p w14:paraId="70BA3948" w14:textId="77777777" w:rsidR="00BA6FF1" w:rsidRDefault="00CA5B1B">
      <w:pPr>
        <w:pStyle w:val="Standard"/>
      </w:pPr>
      <w:r>
        <w:rPr>
          <w:i/>
        </w:rPr>
        <w:t>The Board of Trustees will appoint a lead Trustee for all Equality and Diversity Matters.</w:t>
      </w:r>
    </w:p>
    <w:p w14:paraId="70BA3949" w14:textId="77777777" w:rsidR="00BA6FF1" w:rsidRDefault="00BA6FF1">
      <w:pPr>
        <w:pStyle w:val="Standard"/>
      </w:pPr>
    </w:p>
    <w:p w14:paraId="70BA394A" w14:textId="77777777" w:rsidR="00BA6FF1" w:rsidRDefault="00CA5B1B">
      <w:pPr>
        <w:pStyle w:val="Heading3"/>
      </w:pPr>
      <w:bookmarkStart w:id="4" w:name="_Toc194420106"/>
      <w:r>
        <w:t>5.</w:t>
      </w:r>
      <w:r>
        <w:tab/>
        <w:t>Current Relevant Legislation and Codes of Practice</w:t>
      </w:r>
      <w:bookmarkEnd w:id="4"/>
    </w:p>
    <w:p w14:paraId="70BA394B" w14:textId="77777777" w:rsidR="00BA6FF1" w:rsidRDefault="00BA6FF1">
      <w:pPr>
        <w:pStyle w:val="Standard"/>
      </w:pPr>
    </w:p>
    <w:p w14:paraId="70BA394C" w14:textId="77777777" w:rsidR="00BA6FF1" w:rsidRDefault="00CA5B1B">
      <w:pPr>
        <w:pStyle w:val="Standard"/>
      </w:pPr>
      <w:r>
        <w:t>This policy, provision and practice take into account current legislation and codes of practice affecting discrimination:</w:t>
      </w:r>
    </w:p>
    <w:p w14:paraId="70BA394D" w14:textId="77777777" w:rsidR="00BA6FF1" w:rsidRDefault="00CA5B1B">
      <w:pPr>
        <w:pStyle w:val="Heading4"/>
      </w:pPr>
      <w:r>
        <w:rPr>
          <w:szCs w:val="24"/>
        </w:rPr>
        <w:t>The Legislation</w:t>
      </w:r>
    </w:p>
    <w:p w14:paraId="70BA394E" w14:textId="77777777" w:rsidR="00BA6FF1" w:rsidRDefault="00CA5B1B">
      <w:pPr>
        <w:pStyle w:val="Standard"/>
        <w:numPr>
          <w:ilvl w:val="0"/>
          <w:numId w:val="36"/>
        </w:numPr>
      </w:pPr>
      <w:r>
        <w:t>Employment Act 1989</w:t>
      </w:r>
    </w:p>
    <w:p w14:paraId="70BA394F" w14:textId="77777777" w:rsidR="00BA6FF1" w:rsidRDefault="00CA5B1B">
      <w:pPr>
        <w:pStyle w:val="Standard"/>
        <w:numPr>
          <w:ilvl w:val="0"/>
          <w:numId w:val="26"/>
        </w:numPr>
      </w:pPr>
      <w:r>
        <w:t>Employment Rights Act 1996</w:t>
      </w:r>
    </w:p>
    <w:p w14:paraId="70BA3950" w14:textId="77777777" w:rsidR="00BA6FF1" w:rsidRDefault="00CA5B1B">
      <w:pPr>
        <w:pStyle w:val="Standard"/>
        <w:numPr>
          <w:ilvl w:val="0"/>
          <w:numId w:val="26"/>
        </w:numPr>
      </w:pPr>
      <w:r>
        <w:t>The Equality Act 2010</w:t>
      </w:r>
    </w:p>
    <w:p w14:paraId="70BA3951" w14:textId="77777777" w:rsidR="00BA6FF1" w:rsidRDefault="00CA5B1B">
      <w:pPr>
        <w:pStyle w:val="Standard"/>
        <w:numPr>
          <w:ilvl w:val="0"/>
          <w:numId w:val="26"/>
        </w:numPr>
      </w:pPr>
      <w:r>
        <w:t>The Fixed-Term Employees  (Prevention of Less Favourable Treatment) Regulations 2000</w:t>
      </w:r>
    </w:p>
    <w:p w14:paraId="70BA3952" w14:textId="77777777" w:rsidR="00BA6FF1" w:rsidRDefault="00CA5B1B">
      <w:pPr>
        <w:pStyle w:val="Standard"/>
        <w:numPr>
          <w:ilvl w:val="0"/>
          <w:numId w:val="26"/>
        </w:numPr>
      </w:pPr>
      <w:r>
        <w:t>Flexible Working Act (Eligibility, Complaints &amp; Remedies) Regulations (Amendment) 2002, 2006, 2009</w:t>
      </w:r>
    </w:p>
    <w:p w14:paraId="70BA3953" w14:textId="77777777" w:rsidR="00BA6FF1" w:rsidRDefault="00CA5B1B">
      <w:pPr>
        <w:pStyle w:val="Standard"/>
        <w:numPr>
          <w:ilvl w:val="0"/>
          <w:numId w:val="26"/>
        </w:numPr>
      </w:pPr>
      <w:r>
        <w:t>Health &amp; Safety at Work Act 1974</w:t>
      </w:r>
    </w:p>
    <w:p w14:paraId="70BA3954" w14:textId="77777777" w:rsidR="00BA6FF1" w:rsidRDefault="00CA5B1B">
      <w:pPr>
        <w:pStyle w:val="Standard"/>
        <w:numPr>
          <w:ilvl w:val="0"/>
          <w:numId w:val="26"/>
        </w:numPr>
      </w:pPr>
      <w:r>
        <w:t>Part Time Workers (Prevention of Less Favourable Treatment) Regulations 2000</w:t>
      </w:r>
    </w:p>
    <w:p w14:paraId="70BA3955" w14:textId="77777777" w:rsidR="00BA6FF1" w:rsidRDefault="00CA5B1B">
      <w:pPr>
        <w:pStyle w:val="Standard"/>
        <w:numPr>
          <w:ilvl w:val="0"/>
          <w:numId w:val="26"/>
        </w:numPr>
      </w:pPr>
      <w:r>
        <w:t>Protection from Harassment Act 1997</w:t>
      </w:r>
    </w:p>
    <w:p w14:paraId="70BA3956" w14:textId="77777777" w:rsidR="00BA6FF1" w:rsidRDefault="00CA5B1B">
      <w:pPr>
        <w:pStyle w:val="Standard"/>
        <w:numPr>
          <w:ilvl w:val="0"/>
          <w:numId w:val="26"/>
        </w:numPr>
      </w:pPr>
      <w:r>
        <w:t>Rehabilitation of Offenders Act 1974</w:t>
      </w:r>
    </w:p>
    <w:p w14:paraId="70BA3957" w14:textId="77777777" w:rsidR="00BA6FF1" w:rsidRDefault="00CA5B1B">
      <w:pPr>
        <w:pStyle w:val="Standard"/>
        <w:numPr>
          <w:ilvl w:val="0"/>
          <w:numId w:val="26"/>
        </w:numPr>
      </w:pPr>
      <w:r>
        <w:t>Rehabilitation of Offenders Act (Exceptions) Order 1975 as amended</w:t>
      </w:r>
    </w:p>
    <w:p w14:paraId="70BA3958" w14:textId="77777777" w:rsidR="00BA6FF1" w:rsidRDefault="00CA5B1B">
      <w:pPr>
        <w:pStyle w:val="Standard"/>
        <w:numPr>
          <w:ilvl w:val="0"/>
          <w:numId w:val="26"/>
        </w:numPr>
      </w:pPr>
      <w:r>
        <w:t>The Human Rights Act 1998</w:t>
      </w:r>
    </w:p>
    <w:p w14:paraId="70BA3959" w14:textId="77777777" w:rsidR="00BA6FF1" w:rsidRDefault="00CA5B1B">
      <w:pPr>
        <w:pStyle w:val="Standard"/>
        <w:numPr>
          <w:ilvl w:val="0"/>
          <w:numId w:val="26"/>
        </w:numPr>
      </w:pPr>
      <w:r>
        <w:t>The Pensions Act 1995</w:t>
      </w:r>
    </w:p>
    <w:p w14:paraId="70BA395A" w14:textId="77777777" w:rsidR="00BA6FF1" w:rsidRDefault="00CA5B1B">
      <w:pPr>
        <w:pStyle w:val="Standard"/>
        <w:numPr>
          <w:ilvl w:val="0"/>
          <w:numId w:val="26"/>
        </w:numPr>
      </w:pPr>
      <w:r>
        <w:t>The Work and Families Act 2006 and</w:t>
      </w:r>
    </w:p>
    <w:p w14:paraId="70BA395B" w14:textId="77777777" w:rsidR="00BA6FF1" w:rsidRDefault="00CA5B1B">
      <w:pPr>
        <w:pStyle w:val="Standard"/>
        <w:numPr>
          <w:ilvl w:val="0"/>
          <w:numId w:val="26"/>
        </w:numPr>
      </w:pPr>
      <w:r>
        <w:t>Any other relevant legislation in force from time to time relating to</w:t>
      </w:r>
    </w:p>
    <w:p w14:paraId="70BA395C" w14:textId="77777777" w:rsidR="00BA6FF1" w:rsidRDefault="00CA5B1B">
      <w:pPr>
        <w:pStyle w:val="ListParagraph"/>
        <w:numPr>
          <w:ilvl w:val="0"/>
          <w:numId w:val="26"/>
        </w:numPr>
      </w:pPr>
      <w:r>
        <w:t>Discrimination in employment and the provision of goods, facilities and services.</w:t>
      </w:r>
    </w:p>
    <w:p w14:paraId="70BA395D" w14:textId="77777777" w:rsidR="00BA6FF1" w:rsidRDefault="00CA5B1B">
      <w:pPr>
        <w:pStyle w:val="Heading4"/>
      </w:pPr>
      <w:r>
        <w:t>The Codes of Practice</w:t>
      </w:r>
    </w:p>
    <w:p w14:paraId="70BA395E" w14:textId="77777777" w:rsidR="00BA6FF1" w:rsidRDefault="00CA5B1B">
      <w:pPr>
        <w:pStyle w:val="Standard"/>
      </w:pPr>
      <w:r>
        <w:t xml:space="preserve">There are statutory and non-statutory codes of practice that promotes good practice. Although these codes are not legally enforceable, employment tribunals and courts can infer discrimination from an employer's or service provider’s failure to follow the relevant Code. The relevant codes of practice should be used in conjunction with this guidance. These can be downloaded from EHRC’s website: </w:t>
      </w:r>
      <w:hyperlink r:id="rId7" w:history="1">
        <w:r>
          <w:t>http://www.equalityhumanrights.com/advice-and-guidance/</w:t>
        </w:r>
      </w:hyperlink>
    </w:p>
    <w:p w14:paraId="70BA395F" w14:textId="77777777" w:rsidR="00BA6FF1" w:rsidRDefault="00BA6FF1">
      <w:pPr>
        <w:pStyle w:val="Standard"/>
        <w:rPr>
          <w:b/>
        </w:rPr>
      </w:pPr>
    </w:p>
    <w:p w14:paraId="70BA3960" w14:textId="77777777" w:rsidR="00BA6FF1" w:rsidRDefault="00BA6FF1">
      <w:pPr>
        <w:pStyle w:val="Standard"/>
        <w:rPr>
          <w:b/>
        </w:rPr>
      </w:pPr>
    </w:p>
    <w:p w14:paraId="70BA3961" w14:textId="77777777" w:rsidR="00BA6FF1" w:rsidRDefault="00CA5B1B">
      <w:pPr>
        <w:pStyle w:val="Standard"/>
      </w:pPr>
      <w:r>
        <w:rPr>
          <w:b/>
        </w:rPr>
        <w:t>6</w:t>
      </w:r>
      <w:r>
        <w:rPr>
          <w:b/>
        </w:rPr>
        <w:tab/>
        <w:t>Types of discrimination</w:t>
      </w:r>
    </w:p>
    <w:p w14:paraId="70BA3962" w14:textId="77777777" w:rsidR="00BA6FF1" w:rsidRDefault="00BA6FF1">
      <w:pPr>
        <w:pStyle w:val="Standard"/>
      </w:pPr>
    </w:p>
    <w:p w14:paraId="70BA3963" w14:textId="77777777" w:rsidR="00BA6FF1" w:rsidRDefault="00CA5B1B">
      <w:pPr>
        <w:pStyle w:val="Standard"/>
      </w:pPr>
      <w:r>
        <w:t>The above Equality Acts and legislation details types of discrimination including:</w:t>
      </w:r>
    </w:p>
    <w:p w14:paraId="70BA3964" w14:textId="77777777" w:rsidR="00BA6FF1" w:rsidRDefault="00BA6FF1">
      <w:pPr>
        <w:pStyle w:val="Standard"/>
      </w:pPr>
    </w:p>
    <w:p w14:paraId="70BA3965" w14:textId="77777777" w:rsidR="00BA6FF1" w:rsidRDefault="00CA5B1B">
      <w:pPr>
        <w:pStyle w:val="ListParagraph"/>
        <w:numPr>
          <w:ilvl w:val="0"/>
          <w:numId w:val="37"/>
        </w:numPr>
      </w:pPr>
      <w:r>
        <w:t>Direct discrimination,</w:t>
      </w:r>
    </w:p>
    <w:p w14:paraId="70BA3966" w14:textId="77777777" w:rsidR="00BA6FF1" w:rsidRDefault="00CA5B1B">
      <w:pPr>
        <w:pStyle w:val="ListParagraph"/>
        <w:numPr>
          <w:ilvl w:val="0"/>
          <w:numId w:val="25"/>
        </w:numPr>
      </w:pPr>
      <w:r>
        <w:t>Indirect discrimination,</w:t>
      </w:r>
    </w:p>
    <w:p w14:paraId="70BA3967" w14:textId="77777777" w:rsidR="00BA6FF1" w:rsidRDefault="00CA5B1B">
      <w:pPr>
        <w:pStyle w:val="ListParagraph"/>
        <w:numPr>
          <w:ilvl w:val="0"/>
          <w:numId w:val="25"/>
        </w:numPr>
      </w:pPr>
      <w:r>
        <w:t>Failure to make reasonable adjustments,</w:t>
      </w:r>
    </w:p>
    <w:p w14:paraId="70BA3968" w14:textId="77777777" w:rsidR="00BA6FF1" w:rsidRDefault="00CA5B1B">
      <w:pPr>
        <w:pStyle w:val="ListParagraph"/>
        <w:numPr>
          <w:ilvl w:val="0"/>
          <w:numId w:val="25"/>
        </w:numPr>
      </w:pPr>
      <w:r>
        <w:t>Discrimination arising out of disability,</w:t>
      </w:r>
    </w:p>
    <w:p w14:paraId="70BA3969" w14:textId="77777777" w:rsidR="00BA6FF1" w:rsidRDefault="00CA5B1B">
      <w:pPr>
        <w:pStyle w:val="ListParagraph"/>
        <w:numPr>
          <w:ilvl w:val="0"/>
          <w:numId w:val="25"/>
        </w:numPr>
      </w:pPr>
      <w:r>
        <w:t>Harassment,</w:t>
      </w:r>
    </w:p>
    <w:p w14:paraId="70BA396A" w14:textId="77777777" w:rsidR="00BA6FF1" w:rsidRDefault="00CA5B1B">
      <w:pPr>
        <w:pStyle w:val="ListParagraph"/>
        <w:numPr>
          <w:ilvl w:val="0"/>
          <w:numId w:val="25"/>
        </w:numPr>
      </w:pPr>
      <w:r>
        <w:t>Victimisation,</w:t>
      </w:r>
    </w:p>
    <w:p w14:paraId="70BA396B" w14:textId="77777777" w:rsidR="00BA6FF1" w:rsidRDefault="00CA5B1B">
      <w:pPr>
        <w:pStyle w:val="ListParagraph"/>
        <w:numPr>
          <w:ilvl w:val="0"/>
          <w:numId w:val="25"/>
        </w:numPr>
      </w:pPr>
      <w:r>
        <w:t>Discrimination by association</w:t>
      </w:r>
    </w:p>
    <w:p w14:paraId="70BA396C" w14:textId="77777777" w:rsidR="00BA6FF1" w:rsidRDefault="00CA5B1B">
      <w:pPr>
        <w:pStyle w:val="ListParagraph"/>
        <w:numPr>
          <w:ilvl w:val="0"/>
          <w:numId w:val="25"/>
        </w:numPr>
      </w:pPr>
      <w:r>
        <w:t>Being wrongly perceived to having a protected characteristic,</w:t>
      </w:r>
    </w:p>
    <w:p w14:paraId="70BA396D" w14:textId="77777777" w:rsidR="00BA6FF1" w:rsidRDefault="00CA5B1B">
      <w:pPr>
        <w:pStyle w:val="ListParagraph"/>
        <w:numPr>
          <w:ilvl w:val="0"/>
          <w:numId w:val="25"/>
        </w:numPr>
      </w:pPr>
      <w:r>
        <w:t>Instructing, causin</w:t>
      </w:r>
      <w:r w:rsidR="00924AFA">
        <w:t>g or inducing discrimination,</w:t>
      </w:r>
    </w:p>
    <w:p w14:paraId="70BA396E" w14:textId="77777777" w:rsidR="00BA6FF1" w:rsidRDefault="00CA5B1B">
      <w:pPr>
        <w:pStyle w:val="ListParagraph"/>
        <w:numPr>
          <w:ilvl w:val="0"/>
          <w:numId w:val="25"/>
        </w:numPr>
      </w:pPr>
      <w:r>
        <w:t>Breach of Human Rights</w:t>
      </w:r>
    </w:p>
    <w:p w14:paraId="70BA396F" w14:textId="77777777" w:rsidR="00BA6FF1" w:rsidRDefault="00CA5B1B">
      <w:pPr>
        <w:pStyle w:val="Heading1"/>
        <w:ind w:firstLine="14"/>
      </w:pPr>
      <w:r>
        <w:rPr>
          <w:rStyle w:val="Heading2Char"/>
          <w:b/>
          <w:sz w:val="24"/>
          <w:szCs w:val="24"/>
        </w:rPr>
        <w:t>7</w:t>
      </w:r>
      <w:r>
        <w:rPr>
          <w:rStyle w:val="Heading2Char"/>
          <w:b/>
          <w:sz w:val="24"/>
          <w:szCs w:val="24"/>
        </w:rPr>
        <w:tab/>
        <w:t>Guidelines for the Provision</w:t>
      </w:r>
      <w:r>
        <w:rPr>
          <w:b w:val="0"/>
          <w:sz w:val="24"/>
          <w:szCs w:val="24"/>
        </w:rPr>
        <w:t xml:space="preserve">, </w:t>
      </w:r>
      <w:r>
        <w:rPr>
          <w:sz w:val="24"/>
          <w:szCs w:val="24"/>
        </w:rPr>
        <w:t>Criterion and Practice</w:t>
      </w:r>
      <w:r>
        <w:rPr>
          <w:b w:val="0"/>
          <w:sz w:val="24"/>
          <w:szCs w:val="24"/>
        </w:rPr>
        <w:t xml:space="preserve"> </w:t>
      </w:r>
      <w:r>
        <w:rPr>
          <w:rStyle w:val="Heading2Char"/>
          <w:b/>
          <w:sz w:val="24"/>
          <w:szCs w:val="24"/>
        </w:rPr>
        <w:t>of DUWC</w:t>
      </w:r>
    </w:p>
    <w:p w14:paraId="70BA3970" w14:textId="77777777" w:rsidR="00BA6FF1" w:rsidRDefault="00BA6FF1">
      <w:pPr>
        <w:pStyle w:val="Standard"/>
      </w:pPr>
    </w:p>
    <w:p w14:paraId="70BA3971" w14:textId="77777777" w:rsidR="00BA6FF1" w:rsidRDefault="00CA5B1B">
      <w:pPr>
        <w:pStyle w:val="Standard"/>
      </w:pPr>
      <w:r>
        <w:t>The following guidelines represent the agreed provision, policy and practice of DUWC and should be followed at all levels of the organisation and by everyone involved in any capacity with DUWC.</w:t>
      </w:r>
    </w:p>
    <w:p w14:paraId="70BA3972" w14:textId="77777777" w:rsidR="00BA6FF1" w:rsidRDefault="00BA6FF1">
      <w:pPr>
        <w:pStyle w:val="Standard"/>
        <w:ind w:left="360"/>
      </w:pPr>
    </w:p>
    <w:p w14:paraId="70BA3973" w14:textId="77777777" w:rsidR="00BA6FF1" w:rsidRDefault="00CA5B1B">
      <w:pPr>
        <w:pStyle w:val="Standard"/>
      </w:pPr>
      <w:r>
        <w:t>Any substantial breach of the policy and practice will be treated seriously and will be the subject of disciplinary proceedings.</w:t>
      </w:r>
    </w:p>
    <w:p w14:paraId="70BA3974" w14:textId="77777777" w:rsidR="00BA6FF1" w:rsidRDefault="00BA6FF1">
      <w:pPr>
        <w:pStyle w:val="Standard"/>
      </w:pPr>
    </w:p>
    <w:p w14:paraId="70BA3975" w14:textId="77777777" w:rsidR="00BA6FF1" w:rsidRDefault="00CA5B1B">
      <w:pPr>
        <w:pStyle w:val="Heading3"/>
        <w:rPr>
          <w:sz w:val="24"/>
          <w:szCs w:val="24"/>
        </w:rPr>
      </w:pPr>
      <w:r>
        <w:rPr>
          <w:sz w:val="24"/>
          <w:szCs w:val="24"/>
        </w:rPr>
        <w:t>8</w:t>
      </w:r>
      <w:bookmarkStart w:id="5" w:name="_Toc194420115"/>
      <w:r>
        <w:rPr>
          <w:sz w:val="24"/>
          <w:szCs w:val="24"/>
        </w:rPr>
        <w:tab/>
        <w:t>Membership of the Organisation</w:t>
      </w:r>
      <w:bookmarkEnd w:id="5"/>
    </w:p>
    <w:p w14:paraId="70BA3976" w14:textId="77777777" w:rsidR="00BA6FF1" w:rsidRDefault="00BA6FF1">
      <w:pPr>
        <w:pStyle w:val="Standard"/>
      </w:pPr>
    </w:p>
    <w:p w14:paraId="70BA3977" w14:textId="77777777" w:rsidR="00BA6FF1" w:rsidRDefault="00CA5B1B">
      <w:pPr>
        <w:pStyle w:val="Standard"/>
      </w:pPr>
      <w:r>
        <w:t>The wider membership of DUWC, both of individuals and organisations, shall fully reflect the diversity</w:t>
      </w:r>
      <w:r w:rsidR="00924AFA">
        <w:t xml:space="preserve"> of the community the DUWC it</w:t>
      </w:r>
      <w:r>
        <w:t xml:space="preserve"> is serving. Particular attention will be paid to ensuring that excluded groups (both individuals and agencies representing those groups) are encouraged to become involved.</w:t>
      </w:r>
    </w:p>
    <w:p w14:paraId="70BA3978" w14:textId="77777777" w:rsidR="00BA6FF1" w:rsidRDefault="00BA6FF1">
      <w:pPr>
        <w:pStyle w:val="Standard"/>
      </w:pPr>
    </w:p>
    <w:p w14:paraId="70BA3979" w14:textId="77777777" w:rsidR="00BA6FF1" w:rsidRDefault="00CA5B1B">
      <w:pPr>
        <w:pStyle w:val="Standard"/>
      </w:pPr>
      <w:r>
        <w:rPr>
          <w:b/>
        </w:rPr>
        <w:t>9</w:t>
      </w:r>
      <w:r>
        <w:rPr>
          <w:b/>
        </w:rPr>
        <w:tab/>
        <w:t>Trustees</w:t>
      </w:r>
    </w:p>
    <w:p w14:paraId="70BA397A" w14:textId="77777777" w:rsidR="00BA6FF1" w:rsidRDefault="00BA6FF1">
      <w:pPr>
        <w:pStyle w:val="Standard"/>
        <w:rPr>
          <w:b/>
        </w:rPr>
      </w:pPr>
    </w:p>
    <w:p w14:paraId="70BA397B" w14:textId="77777777" w:rsidR="00BA6FF1" w:rsidRDefault="00CA5B1B">
      <w:pPr>
        <w:pStyle w:val="Standard"/>
      </w:pPr>
      <w:r>
        <w:t>The trustees will review its make-up, on a three yearly basis, and take action to redress under-representation by considering appropriate action including where necessary any alterations to the constitution. Particular attention will be given to offering necessary support and training. For example:</w:t>
      </w:r>
    </w:p>
    <w:p w14:paraId="70BA397C" w14:textId="77777777" w:rsidR="00BA6FF1" w:rsidRDefault="00BA6FF1">
      <w:pPr>
        <w:pStyle w:val="Standard"/>
      </w:pPr>
    </w:p>
    <w:p w14:paraId="70BA397D" w14:textId="77777777" w:rsidR="00BA6FF1" w:rsidRDefault="00CA5B1B">
      <w:pPr>
        <w:pStyle w:val="Standard"/>
        <w:numPr>
          <w:ilvl w:val="0"/>
          <w:numId w:val="38"/>
        </w:numPr>
      </w:pPr>
      <w:r>
        <w:t>Reimbursed out of pocket expenses (including caring responsibilities),</w:t>
      </w:r>
    </w:p>
    <w:p w14:paraId="70BA397E" w14:textId="77777777" w:rsidR="00BA6FF1" w:rsidRDefault="00CA5B1B">
      <w:pPr>
        <w:pStyle w:val="Standard"/>
        <w:numPr>
          <w:ilvl w:val="0"/>
          <w:numId w:val="24"/>
        </w:numPr>
      </w:pPr>
      <w:r>
        <w:t>Making reasonable adjustments such a</w:t>
      </w:r>
      <w:r w:rsidR="00924AFA">
        <w:t>s papers in large print, on voicemail etc</w:t>
      </w:r>
      <w:r>
        <w:t>,</w:t>
      </w:r>
    </w:p>
    <w:p w14:paraId="70BA397F" w14:textId="77777777" w:rsidR="00BA6FF1" w:rsidRDefault="00CA5B1B">
      <w:pPr>
        <w:pStyle w:val="ListParagraph"/>
        <w:numPr>
          <w:ilvl w:val="0"/>
          <w:numId w:val="24"/>
        </w:numPr>
      </w:pPr>
      <w:r>
        <w:t>Arranging communicati</w:t>
      </w:r>
      <w:r w:rsidR="00924AFA">
        <w:t xml:space="preserve">on/language support as appropriate so that neither clients nor member of staff are disadvantaged and </w:t>
      </w:r>
      <w:r>
        <w:t xml:space="preserve">to ensure </w:t>
      </w:r>
      <w:r w:rsidR="00924AFA">
        <w:t>that they</w:t>
      </w:r>
      <w:r>
        <w:t xml:space="preserve"> can fully participate.</w:t>
      </w:r>
    </w:p>
    <w:p w14:paraId="70BA3980" w14:textId="77777777" w:rsidR="00BA6FF1" w:rsidRDefault="00CA5B1B" w:rsidP="00432E65">
      <w:pPr>
        <w:pStyle w:val="Standard"/>
        <w:numPr>
          <w:ilvl w:val="0"/>
          <w:numId w:val="24"/>
        </w:numPr>
      </w:pPr>
      <w:r>
        <w:t>New management committee members will b</w:t>
      </w:r>
      <w:r w:rsidR="00924AFA">
        <w:t>e trained on promoting e</w:t>
      </w:r>
      <w:r>
        <w:t>quality and valuing diversity as part of their induction.</w:t>
      </w:r>
    </w:p>
    <w:p w14:paraId="70BA3981" w14:textId="77777777" w:rsidR="00BA6FF1" w:rsidRDefault="00BA6FF1">
      <w:pPr>
        <w:pStyle w:val="ListParagraph"/>
      </w:pPr>
    </w:p>
    <w:p w14:paraId="70BA3982" w14:textId="77777777" w:rsidR="00BA6FF1" w:rsidRDefault="00BA6FF1">
      <w:pPr>
        <w:pStyle w:val="ListParagraph"/>
      </w:pPr>
    </w:p>
    <w:p w14:paraId="70BA3983" w14:textId="77777777" w:rsidR="00BA6FF1" w:rsidRDefault="00BA6FF1">
      <w:pPr>
        <w:pStyle w:val="Standard"/>
        <w:rPr>
          <w:b/>
        </w:rPr>
      </w:pPr>
    </w:p>
    <w:p w14:paraId="70BA3984" w14:textId="77777777" w:rsidR="00BA6FF1" w:rsidRDefault="00BA6FF1">
      <w:pPr>
        <w:pStyle w:val="Standard"/>
        <w:rPr>
          <w:b/>
        </w:rPr>
      </w:pPr>
    </w:p>
    <w:p w14:paraId="70BA3985" w14:textId="77777777" w:rsidR="00BA6FF1" w:rsidRDefault="00CA5B1B">
      <w:pPr>
        <w:pStyle w:val="Standard"/>
      </w:pPr>
      <w:r>
        <w:rPr>
          <w:b/>
        </w:rPr>
        <w:t>10</w:t>
      </w:r>
      <w:r>
        <w:rPr>
          <w:b/>
        </w:rPr>
        <w:tab/>
        <w:t>Employment Policy and Practice</w:t>
      </w:r>
    </w:p>
    <w:p w14:paraId="70BA3986" w14:textId="77777777" w:rsidR="00BA6FF1" w:rsidRDefault="00BA6FF1">
      <w:pPr>
        <w:pStyle w:val="Standard"/>
      </w:pPr>
    </w:p>
    <w:p w14:paraId="70BA3987" w14:textId="77777777" w:rsidR="00BA6FF1" w:rsidRDefault="00CA5B1B">
      <w:pPr>
        <w:pStyle w:val="Standard"/>
      </w:pPr>
      <w:r>
        <w:t>DUWC is committed to ensuring that it is an employer that promotes equality and values diversity within its workforce. It further recognises that people from excluded groups, arising out of their understanding of and/or membership of those groups, can bring particular knowledge and experience to the work of DUWC. Where such excluded groups have been previously under-represented among workers, they will be specifically encouraged to apply for vacant posts. Selection procedure will be considered to ensure that people who are capable of performing available jobs are not excluded by unnecessary requirements which might otherwise adversely affect some groups.</w:t>
      </w:r>
    </w:p>
    <w:p w14:paraId="70BA3988" w14:textId="77777777" w:rsidR="00BA6FF1" w:rsidRDefault="00BA6FF1">
      <w:pPr>
        <w:pStyle w:val="Standard"/>
      </w:pPr>
    </w:p>
    <w:p w14:paraId="70BA3989" w14:textId="77777777" w:rsidR="00BA6FF1" w:rsidRDefault="00CA5B1B">
      <w:pPr>
        <w:pStyle w:val="Standard"/>
      </w:pPr>
      <w:r>
        <w:t>DUWC is committed to ensuring that:</w:t>
      </w:r>
    </w:p>
    <w:p w14:paraId="70BA398A" w14:textId="77777777" w:rsidR="00BA6FF1" w:rsidRDefault="00BA6FF1">
      <w:pPr>
        <w:pStyle w:val="Standard"/>
      </w:pPr>
    </w:p>
    <w:p w14:paraId="70BA398B" w14:textId="77777777" w:rsidR="00BA6FF1" w:rsidRDefault="00CA5B1B">
      <w:pPr>
        <w:pStyle w:val="ListParagraph"/>
        <w:numPr>
          <w:ilvl w:val="0"/>
          <w:numId w:val="39"/>
        </w:numPr>
      </w:pPr>
      <w:r>
        <w:t>All appropriate posts are advertised to encourage applications from a wide variety of communities.</w:t>
      </w:r>
    </w:p>
    <w:p w14:paraId="70BA398C" w14:textId="77777777" w:rsidR="00BA6FF1" w:rsidRDefault="00CA5B1B">
      <w:pPr>
        <w:pStyle w:val="ListParagraph"/>
        <w:numPr>
          <w:ilvl w:val="0"/>
          <w:numId w:val="30"/>
        </w:numPr>
      </w:pPr>
      <w:r>
        <w:t>All job applicants and interview candidates are treated fairly</w:t>
      </w:r>
    </w:p>
    <w:p w14:paraId="70BA398D" w14:textId="77777777" w:rsidR="00BA6FF1" w:rsidRDefault="00CA5B1B">
      <w:pPr>
        <w:pStyle w:val="ListParagraph"/>
        <w:numPr>
          <w:ilvl w:val="0"/>
          <w:numId w:val="30"/>
        </w:numPr>
      </w:pPr>
      <w:r>
        <w:t>All its trustees, new employees and volunteers will be inducted on the Promoting Equality and Valuing Diversity policy.</w:t>
      </w:r>
    </w:p>
    <w:p w14:paraId="70BA398E" w14:textId="77777777" w:rsidR="00BA6FF1" w:rsidRDefault="00CA5B1B">
      <w:pPr>
        <w:pStyle w:val="ListParagraph"/>
        <w:numPr>
          <w:ilvl w:val="0"/>
          <w:numId w:val="30"/>
        </w:numPr>
      </w:pPr>
      <w:r>
        <w:t>Job share applicants are welcome, or, unless following proper review it is apparent that the post is not available for job-share.</w:t>
      </w:r>
    </w:p>
    <w:p w14:paraId="70BA398F" w14:textId="77777777" w:rsidR="00BA6FF1" w:rsidRDefault="00CA5B1B">
      <w:pPr>
        <w:pStyle w:val="ListParagraph"/>
        <w:numPr>
          <w:ilvl w:val="0"/>
          <w:numId w:val="30"/>
        </w:numPr>
      </w:pPr>
      <w:r>
        <w:t>All employees are treated fairly</w:t>
      </w:r>
    </w:p>
    <w:p w14:paraId="70BA3990" w14:textId="77777777" w:rsidR="00BA6FF1" w:rsidRDefault="00CA5B1B">
      <w:pPr>
        <w:pStyle w:val="ListParagraph"/>
        <w:numPr>
          <w:ilvl w:val="0"/>
          <w:numId w:val="30"/>
        </w:numPr>
      </w:pPr>
      <w:r>
        <w:t xml:space="preserve">Discrimination, harassment and victimisation will be treated as a disciplinary offence within the organisation. This will be applied to all volunteers, staff and trustees.  </w:t>
      </w:r>
    </w:p>
    <w:p w14:paraId="70BA3991" w14:textId="77777777" w:rsidR="00BA6FF1" w:rsidRDefault="00CA5B1B">
      <w:pPr>
        <w:pStyle w:val="ListParagraph"/>
        <w:numPr>
          <w:ilvl w:val="0"/>
          <w:numId w:val="30"/>
        </w:numPr>
      </w:pPr>
      <w:r>
        <w:t>Offering reasonable adjustments to employees, volunteers and trustees to ensure that they can participate fully in their roles.</w:t>
      </w:r>
    </w:p>
    <w:p w14:paraId="70BA3992" w14:textId="77777777" w:rsidR="00BA6FF1" w:rsidRDefault="00CA5B1B">
      <w:pPr>
        <w:pStyle w:val="ListParagraph"/>
        <w:numPr>
          <w:ilvl w:val="0"/>
          <w:numId w:val="30"/>
        </w:numPr>
      </w:pPr>
      <w:r>
        <w:t>Applicants with a criminal record will not be unfairly discriminated against.</w:t>
      </w:r>
    </w:p>
    <w:p w14:paraId="70BA3993" w14:textId="77777777" w:rsidR="00BA6FF1" w:rsidRDefault="00BA6FF1">
      <w:pPr>
        <w:pStyle w:val="Standard"/>
      </w:pPr>
    </w:p>
    <w:p w14:paraId="70BA3994" w14:textId="77777777" w:rsidR="00BA6FF1" w:rsidRDefault="00CA5B1B">
      <w:pPr>
        <w:pStyle w:val="Standard"/>
      </w:pPr>
      <w:r>
        <w:t xml:space="preserve">Where any worker feels that this policy has not been followed or that they have faced discrimination, harassment and victimisation either from another worker, volunteer or trustee, then they should use the </w:t>
      </w:r>
      <w:r>
        <w:rPr>
          <w:i/>
        </w:rPr>
        <w:t>existing grievance procedure.</w:t>
      </w:r>
    </w:p>
    <w:p w14:paraId="70BA3995" w14:textId="77777777" w:rsidR="00BA6FF1" w:rsidRDefault="00BA6FF1">
      <w:pPr>
        <w:pStyle w:val="Standard"/>
        <w:rPr>
          <w:i/>
        </w:rPr>
      </w:pPr>
    </w:p>
    <w:p w14:paraId="70BA3996" w14:textId="77777777" w:rsidR="00BA6FF1" w:rsidRDefault="00CA5B1B">
      <w:pPr>
        <w:pStyle w:val="Standard"/>
      </w:pPr>
      <w:r>
        <w:rPr>
          <w:b/>
        </w:rPr>
        <w:t>11</w:t>
      </w:r>
      <w:r>
        <w:rPr>
          <w:b/>
        </w:rPr>
        <w:tab/>
        <w:t>Delivering Services:</w:t>
      </w:r>
    </w:p>
    <w:p w14:paraId="70BA3997" w14:textId="77777777" w:rsidR="00BA6FF1" w:rsidRDefault="00BA6FF1">
      <w:pPr>
        <w:pStyle w:val="Standard"/>
        <w:rPr>
          <w:b/>
        </w:rPr>
      </w:pPr>
    </w:p>
    <w:p w14:paraId="70BA3998" w14:textId="77777777" w:rsidR="00BA6FF1" w:rsidRDefault="00CA5B1B">
      <w:pPr>
        <w:pStyle w:val="Standard"/>
        <w:spacing w:after="165"/>
        <w:rPr>
          <w:color w:val="000000"/>
        </w:rPr>
      </w:pPr>
      <w:r>
        <w:rPr>
          <w:color w:val="000000"/>
          <w:lang w:eastAsia="en-GB"/>
        </w:rPr>
        <w:t>A service provider DUWC must make sure that all services/buildings:</w:t>
      </w:r>
    </w:p>
    <w:p w14:paraId="70BA3999" w14:textId="77777777" w:rsidR="00BA6FF1" w:rsidRDefault="00CA5B1B">
      <w:pPr>
        <w:pStyle w:val="ListParagraph"/>
        <w:numPr>
          <w:ilvl w:val="0"/>
          <w:numId w:val="40"/>
        </w:numPr>
        <w:spacing w:before="28" w:after="28"/>
        <w:rPr>
          <w:color w:val="000000"/>
        </w:rPr>
      </w:pPr>
      <w:r>
        <w:rPr>
          <w:color w:val="000000"/>
          <w:lang w:eastAsia="en-GB"/>
        </w:rPr>
        <w:t>Do not unlawfully discriminate</w:t>
      </w:r>
    </w:p>
    <w:p w14:paraId="70BA399A" w14:textId="77777777" w:rsidR="00BA6FF1" w:rsidRDefault="00CA5B1B">
      <w:pPr>
        <w:pStyle w:val="ListParagraph"/>
        <w:numPr>
          <w:ilvl w:val="0"/>
          <w:numId w:val="20"/>
        </w:numPr>
        <w:spacing w:before="28" w:after="28"/>
        <w:rPr>
          <w:color w:val="000000"/>
        </w:rPr>
      </w:pPr>
      <w:r>
        <w:rPr>
          <w:color w:val="000000"/>
          <w:lang w:eastAsia="en-GB"/>
        </w:rPr>
        <w:t>Users do not experience harassment or are victimised in using their premises,</w:t>
      </w:r>
    </w:p>
    <w:p w14:paraId="70BA399B" w14:textId="77777777" w:rsidR="00BA6FF1" w:rsidRDefault="00CA5B1B">
      <w:pPr>
        <w:pStyle w:val="ListParagraph"/>
        <w:numPr>
          <w:ilvl w:val="0"/>
          <w:numId w:val="20"/>
        </w:numPr>
        <w:spacing w:before="28" w:after="28"/>
        <w:rPr>
          <w:color w:val="000000"/>
        </w:rPr>
      </w:pPr>
      <w:r>
        <w:rPr>
          <w:color w:val="000000"/>
          <w:lang w:eastAsia="en-GB"/>
        </w:rPr>
        <w:t>Make reasonable adjustments for disabled people.</w:t>
      </w:r>
    </w:p>
    <w:p w14:paraId="70BA399C" w14:textId="77777777" w:rsidR="00BA6FF1" w:rsidRDefault="00CA5B1B">
      <w:pPr>
        <w:pStyle w:val="Standard"/>
        <w:spacing w:after="165"/>
        <w:rPr>
          <w:color w:val="000000"/>
        </w:rPr>
      </w:pPr>
      <w:r>
        <w:rPr>
          <w:color w:val="000000"/>
          <w:lang w:eastAsia="en-GB"/>
        </w:rPr>
        <w:t>In making reasonable adjustments, DUWC will not wait until a disabled person wants to use their services. The organisation will think in advance about what people with a range of impairments might reasonably need. If they have not done this and a disabled person wants to use a service, then DUWC will make the reasonable adjustments as quickly as possible.</w:t>
      </w:r>
    </w:p>
    <w:p w14:paraId="70BA399D" w14:textId="77777777" w:rsidR="00BA6FF1" w:rsidRDefault="00CA5B1B">
      <w:pPr>
        <w:pStyle w:val="Standard"/>
        <w:spacing w:after="165"/>
        <w:rPr>
          <w:color w:val="000000"/>
        </w:rPr>
      </w:pPr>
      <w:r>
        <w:rPr>
          <w:color w:val="000000"/>
          <w:lang w:eastAsia="en-GB"/>
        </w:rPr>
        <w:lastRenderedPageBreak/>
        <w:t>DUWC as an organisation will consider every aspect of their building or other premises, including:</w:t>
      </w:r>
    </w:p>
    <w:p w14:paraId="70BA399E" w14:textId="77777777" w:rsidR="00BA6FF1" w:rsidRDefault="00CA5B1B">
      <w:pPr>
        <w:pStyle w:val="ListParagraph"/>
        <w:numPr>
          <w:ilvl w:val="0"/>
          <w:numId w:val="41"/>
        </w:numPr>
        <w:spacing w:before="28" w:after="28"/>
        <w:rPr>
          <w:color w:val="000000"/>
        </w:rPr>
      </w:pPr>
      <w:r>
        <w:rPr>
          <w:color w:val="000000"/>
          <w:lang w:eastAsia="en-GB"/>
        </w:rPr>
        <w:t>how people enter</w:t>
      </w:r>
    </w:p>
    <w:p w14:paraId="70BA399F" w14:textId="77777777" w:rsidR="00BA6FF1" w:rsidRDefault="00CA5B1B">
      <w:pPr>
        <w:pStyle w:val="ListParagraph"/>
        <w:numPr>
          <w:ilvl w:val="0"/>
          <w:numId w:val="23"/>
        </w:numPr>
        <w:spacing w:before="28" w:after="28"/>
        <w:rPr>
          <w:color w:val="000000"/>
        </w:rPr>
      </w:pPr>
      <w:r>
        <w:rPr>
          <w:color w:val="000000"/>
          <w:lang w:eastAsia="en-GB"/>
        </w:rPr>
        <w:t>how they find their way around</w:t>
      </w:r>
    </w:p>
    <w:p w14:paraId="70BA39A0" w14:textId="77777777" w:rsidR="00BA6FF1" w:rsidRDefault="00CA5B1B">
      <w:pPr>
        <w:pStyle w:val="ListParagraph"/>
        <w:numPr>
          <w:ilvl w:val="0"/>
          <w:numId w:val="23"/>
        </w:numPr>
        <w:spacing w:before="28" w:after="28"/>
        <w:rPr>
          <w:color w:val="000000"/>
        </w:rPr>
      </w:pPr>
      <w:r>
        <w:rPr>
          <w:color w:val="000000"/>
          <w:lang w:eastAsia="en-GB"/>
        </w:rPr>
        <w:t>what signs are provided</w:t>
      </w:r>
    </w:p>
    <w:p w14:paraId="70BA39A1" w14:textId="77777777" w:rsidR="00BA6FF1" w:rsidRDefault="00CA5B1B">
      <w:pPr>
        <w:pStyle w:val="ListParagraph"/>
        <w:numPr>
          <w:ilvl w:val="0"/>
          <w:numId w:val="23"/>
        </w:numPr>
        <w:spacing w:before="28" w:after="28"/>
        <w:rPr>
          <w:color w:val="000000"/>
        </w:rPr>
      </w:pPr>
      <w:r>
        <w:rPr>
          <w:color w:val="000000"/>
          <w:lang w:eastAsia="en-GB"/>
        </w:rPr>
        <w:t>how people communicate with staff</w:t>
      </w:r>
    </w:p>
    <w:p w14:paraId="70BA39A2" w14:textId="77777777" w:rsidR="00BA6FF1" w:rsidRDefault="00CA5B1B">
      <w:pPr>
        <w:pStyle w:val="ListParagraph"/>
        <w:numPr>
          <w:ilvl w:val="0"/>
          <w:numId w:val="23"/>
        </w:numPr>
        <w:spacing w:before="28" w:after="28"/>
        <w:rPr>
          <w:color w:val="000000"/>
        </w:rPr>
      </w:pPr>
      <w:r>
        <w:rPr>
          <w:color w:val="000000"/>
          <w:lang w:eastAsia="en-GB"/>
        </w:rPr>
        <w:t>information provided</w:t>
      </w:r>
    </w:p>
    <w:p w14:paraId="70BA39A3" w14:textId="77777777" w:rsidR="00BA6FF1" w:rsidRDefault="00CA5B1B">
      <w:pPr>
        <w:pStyle w:val="ListParagraph"/>
        <w:numPr>
          <w:ilvl w:val="0"/>
          <w:numId w:val="23"/>
        </w:numPr>
        <w:spacing w:before="28" w:after="28"/>
        <w:rPr>
          <w:color w:val="000000"/>
        </w:rPr>
      </w:pPr>
      <w:r>
        <w:rPr>
          <w:color w:val="000000"/>
          <w:lang w:eastAsia="en-GB"/>
        </w:rPr>
        <w:t>any queuing systems</w:t>
      </w:r>
    </w:p>
    <w:p w14:paraId="70BA39A4" w14:textId="77777777" w:rsidR="00BA6FF1" w:rsidRDefault="00CA5B1B">
      <w:pPr>
        <w:pStyle w:val="ListParagraph"/>
        <w:numPr>
          <w:ilvl w:val="0"/>
          <w:numId w:val="23"/>
        </w:numPr>
        <w:spacing w:before="28" w:after="28"/>
        <w:rPr>
          <w:color w:val="000000"/>
        </w:rPr>
      </w:pPr>
      <w:r>
        <w:rPr>
          <w:color w:val="000000"/>
          <w:lang w:eastAsia="en-GB"/>
        </w:rPr>
        <w:t>if they have them counters/desks</w:t>
      </w:r>
    </w:p>
    <w:p w14:paraId="70BA39A5" w14:textId="77777777" w:rsidR="00BA6FF1" w:rsidRDefault="00CA5B1B">
      <w:pPr>
        <w:pStyle w:val="ListParagraph"/>
        <w:numPr>
          <w:ilvl w:val="0"/>
          <w:numId w:val="23"/>
        </w:numPr>
        <w:spacing w:before="28" w:after="28"/>
        <w:rPr>
          <w:color w:val="000000"/>
        </w:rPr>
      </w:pPr>
      <w:r>
        <w:rPr>
          <w:color w:val="000000"/>
          <w:lang w:eastAsia="en-GB"/>
        </w:rPr>
        <w:t>if they have them accessible toilet facilities.</w:t>
      </w:r>
    </w:p>
    <w:p w14:paraId="70BA39A6" w14:textId="77777777" w:rsidR="00BA6FF1" w:rsidRDefault="00BA6FF1">
      <w:pPr>
        <w:pStyle w:val="ListParagraph"/>
        <w:spacing w:before="28" w:after="28"/>
        <w:rPr>
          <w:color w:val="000000"/>
        </w:rPr>
      </w:pPr>
    </w:p>
    <w:p w14:paraId="70BA39A7" w14:textId="77777777" w:rsidR="00BA6FF1" w:rsidRDefault="00CA5B1B">
      <w:pPr>
        <w:pStyle w:val="Standard"/>
        <w:spacing w:before="28" w:after="28"/>
        <w:rPr>
          <w:color w:val="000000"/>
        </w:rPr>
      </w:pPr>
      <w:r>
        <w:rPr>
          <w:color w:val="000000"/>
          <w:lang w:eastAsia="en-GB"/>
        </w:rPr>
        <w:t>Specifically at present DUWC provide the following for the main building at Chesterfield:</w:t>
      </w:r>
    </w:p>
    <w:tbl>
      <w:tblPr>
        <w:tblW w:w="8690" w:type="dxa"/>
        <w:tblInd w:w="-108" w:type="dxa"/>
        <w:tblLayout w:type="fixed"/>
        <w:tblCellMar>
          <w:left w:w="10" w:type="dxa"/>
          <w:right w:w="10" w:type="dxa"/>
        </w:tblCellMar>
        <w:tblLook w:val="04A0" w:firstRow="1" w:lastRow="0" w:firstColumn="1" w:lastColumn="0" w:noHBand="0" w:noVBand="1"/>
      </w:tblPr>
      <w:tblGrid>
        <w:gridCol w:w="5610"/>
        <w:gridCol w:w="3080"/>
      </w:tblGrid>
      <w:tr w:rsidR="00BA6FF1" w14:paraId="70BA39A9" w14:textId="77777777">
        <w:trPr>
          <w:gridAfter w:val="1"/>
          <w:wAfter w:w="2385" w:type="dxa"/>
          <w:trHeight w:val="255"/>
        </w:trPr>
        <w:tc>
          <w:tcPr>
            <w:tcW w:w="4344" w:type="dxa"/>
            <w:shd w:val="clear" w:color="auto" w:fill="FFFFFF"/>
            <w:tcMar>
              <w:top w:w="0" w:type="dxa"/>
              <w:left w:w="108" w:type="dxa"/>
              <w:bottom w:w="0" w:type="dxa"/>
              <w:right w:w="108" w:type="dxa"/>
            </w:tcMar>
            <w:vAlign w:val="bottom"/>
          </w:tcPr>
          <w:p w14:paraId="70BA39A8" w14:textId="77777777" w:rsidR="00BA6FF1" w:rsidRDefault="00CA5B1B">
            <w:pPr>
              <w:pStyle w:val="Standard"/>
            </w:pPr>
            <w:r>
              <w:rPr>
                <w:b/>
                <w:bCs/>
                <w:sz w:val="22"/>
                <w:szCs w:val="22"/>
                <w:lang w:val="en-US"/>
              </w:rPr>
              <w:t>Premises</w:t>
            </w:r>
          </w:p>
        </w:tc>
      </w:tr>
      <w:tr w:rsidR="00BA6FF1" w14:paraId="70BA39AB" w14:textId="77777777">
        <w:trPr>
          <w:trHeight w:val="255"/>
        </w:trPr>
        <w:tc>
          <w:tcPr>
            <w:tcW w:w="6729" w:type="dxa"/>
            <w:gridSpan w:val="2"/>
            <w:shd w:val="clear" w:color="auto" w:fill="FFFFFF"/>
            <w:tcMar>
              <w:top w:w="0" w:type="dxa"/>
              <w:left w:w="108" w:type="dxa"/>
              <w:bottom w:w="0" w:type="dxa"/>
              <w:right w:w="108" w:type="dxa"/>
            </w:tcMar>
            <w:vAlign w:val="bottom"/>
          </w:tcPr>
          <w:p w14:paraId="70BA39AA" w14:textId="77777777" w:rsidR="00BA6FF1" w:rsidRDefault="00CA5B1B">
            <w:pPr>
              <w:pStyle w:val="Standard"/>
            </w:pPr>
            <w:r>
              <w:rPr>
                <w:sz w:val="22"/>
                <w:szCs w:val="22"/>
                <w:lang w:val="en-US"/>
              </w:rPr>
              <w:t>Wheelchair accessible premises</w:t>
            </w:r>
          </w:p>
        </w:tc>
      </w:tr>
      <w:tr w:rsidR="00BA6FF1" w14:paraId="70BA39AD" w14:textId="77777777">
        <w:trPr>
          <w:trHeight w:val="255"/>
        </w:trPr>
        <w:tc>
          <w:tcPr>
            <w:tcW w:w="6729" w:type="dxa"/>
            <w:gridSpan w:val="2"/>
            <w:shd w:val="clear" w:color="auto" w:fill="FFFFFF"/>
            <w:tcMar>
              <w:top w:w="0" w:type="dxa"/>
              <w:left w:w="108" w:type="dxa"/>
              <w:bottom w:w="0" w:type="dxa"/>
              <w:right w:w="108" w:type="dxa"/>
            </w:tcMar>
            <w:vAlign w:val="bottom"/>
          </w:tcPr>
          <w:p w14:paraId="70BA39AC" w14:textId="77777777" w:rsidR="00BA6FF1" w:rsidRDefault="00CA5B1B">
            <w:pPr>
              <w:pStyle w:val="Standard"/>
            </w:pPr>
            <w:r>
              <w:rPr>
                <w:sz w:val="22"/>
                <w:szCs w:val="22"/>
                <w:lang w:val="en-US"/>
              </w:rPr>
              <w:t>Wheelchair accessible toilet</w:t>
            </w:r>
          </w:p>
        </w:tc>
      </w:tr>
      <w:tr w:rsidR="00BA6FF1" w14:paraId="70BA39AF" w14:textId="77777777">
        <w:trPr>
          <w:trHeight w:val="255"/>
        </w:trPr>
        <w:tc>
          <w:tcPr>
            <w:tcW w:w="6729" w:type="dxa"/>
            <w:gridSpan w:val="2"/>
            <w:shd w:val="clear" w:color="auto" w:fill="FFFFFF"/>
            <w:tcMar>
              <w:top w:w="0" w:type="dxa"/>
              <w:left w:w="108" w:type="dxa"/>
              <w:bottom w:w="0" w:type="dxa"/>
              <w:right w:w="108" w:type="dxa"/>
            </w:tcMar>
            <w:vAlign w:val="bottom"/>
          </w:tcPr>
          <w:p w14:paraId="70BA39AE" w14:textId="77777777" w:rsidR="00BA6FF1" w:rsidRDefault="00CA5B1B">
            <w:pPr>
              <w:pStyle w:val="Standard"/>
            </w:pPr>
            <w:r>
              <w:rPr>
                <w:b/>
                <w:bCs/>
                <w:sz w:val="22"/>
                <w:szCs w:val="22"/>
                <w:lang w:val="en-US"/>
              </w:rPr>
              <w:t>Appointments</w:t>
            </w:r>
          </w:p>
        </w:tc>
      </w:tr>
      <w:tr w:rsidR="00BA6FF1" w14:paraId="70BA39B1" w14:textId="77777777">
        <w:trPr>
          <w:trHeight w:val="255"/>
        </w:trPr>
        <w:tc>
          <w:tcPr>
            <w:tcW w:w="6729" w:type="dxa"/>
            <w:gridSpan w:val="2"/>
            <w:shd w:val="clear" w:color="auto" w:fill="FFFFFF"/>
            <w:tcMar>
              <w:top w:w="0" w:type="dxa"/>
              <w:left w:w="108" w:type="dxa"/>
              <w:bottom w:w="0" w:type="dxa"/>
              <w:right w:w="108" w:type="dxa"/>
            </w:tcMar>
            <w:vAlign w:val="bottom"/>
          </w:tcPr>
          <w:p w14:paraId="70BA39B0" w14:textId="77777777" w:rsidR="00BA6FF1" w:rsidRDefault="00CA5B1B">
            <w:pPr>
              <w:pStyle w:val="Standard"/>
            </w:pPr>
            <w:r>
              <w:rPr>
                <w:sz w:val="22"/>
                <w:szCs w:val="22"/>
                <w:lang w:val="en-US"/>
              </w:rPr>
              <w:t>Home visits</w:t>
            </w:r>
          </w:p>
        </w:tc>
      </w:tr>
      <w:tr w:rsidR="00BA6FF1" w14:paraId="70BA39B3" w14:textId="77777777">
        <w:trPr>
          <w:trHeight w:val="255"/>
        </w:trPr>
        <w:tc>
          <w:tcPr>
            <w:tcW w:w="6729" w:type="dxa"/>
            <w:gridSpan w:val="2"/>
            <w:shd w:val="clear" w:color="auto" w:fill="FFFFFF"/>
            <w:tcMar>
              <w:top w:w="0" w:type="dxa"/>
              <w:left w:w="108" w:type="dxa"/>
              <w:bottom w:w="0" w:type="dxa"/>
              <w:right w:w="108" w:type="dxa"/>
            </w:tcMar>
            <w:vAlign w:val="bottom"/>
          </w:tcPr>
          <w:p w14:paraId="70BA39B2" w14:textId="77777777" w:rsidR="00BA6FF1" w:rsidRDefault="00CA5B1B">
            <w:pPr>
              <w:pStyle w:val="Standard"/>
            </w:pPr>
            <w:r>
              <w:rPr>
                <w:sz w:val="22"/>
                <w:szCs w:val="22"/>
                <w:lang w:val="en-US"/>
              </w:rPr>
              <w:t>Appointments at accessible Law Centre</w:t>
            </w:r>
          </w:p>
        </w:tc>
      </w:tr>
      <w:tr w:rsidR="00BA6FF1" w14:paraId="70BA39B5" w14:textId="77777777">
        <w:trPr>
          <w:trHeight w:val="255"/>
        </w:trPr>
        <w:tc>
          <w:tcPr>
            <w:tcW w:w="6729" w:type="dxa"/>
            <w:gridSpan w:val="2"/>
            <w:shd w:val="clear" w:color="auto" w:fill="FFFFFF"/>
            <w:tcMar>
              <w:top w:w="0" w:type="dxa"/>
              <w:left w:w="108" w:type="dxa"/>
              <w:bottom w:w="0" w:type="dxa"/>
              <w:right w:w="108" w:type="dxa"/>
            </w:tcMar>
            <w:vAlign w:val="bottom"/>
          </w:tcPr>
          <w:p w14:paraId="70BA39B4" w14:textId="77777777" w:rsidR="00BA6FF1" w:rsidRDefault="00CA5B1B">
            <w:pPr>
              <w:pStyle w:val="Standard"/>
            </w:pPr>
            <w:r>
              <w:rPr>
                <w:sz w:val="22"/>
                <w:szCs w:val="22"/>
                <w:lang w:val="en-US"/>
              </w:rPr>
              <w:t>Loop system installed in an interview room</w:t>
            </w:r>
          </w:p>
        </w:tc>
      </w:tr>
      <w:tr w:rsidR="00BA6FF1" w14:paraId="70BA39B7" w14:textId="77777777">
        <w:trPr>
          <w:trHeight w:val="255"/>
        </w:trPr>
        <w:tc>
          <w:tcPr>
            <w:tcW w:w="6729" w:type="dxa"/>
            <w:gridSpan w:val="2"/>
            <w:shd w:val="clear" w:color="auto" w:fill="FFFFFF"/>
            <w:tcMar>
              <w:top w:w="0" w:type="dxa"/>
              <w:left w:w="108" w:type="dxa"/>
              <w:bottom w:w="0" w:type="dxa"/>
              <w:right w:w="108" w:type="dxa"/>
            </w:tcMar>
            <w:vAlign w:val="bottom"/>
          </w:tcPr>
          <w:p w14:paraId="70BA39B6" w14:textId="77777777" w:rsidR="00BA6FF1" w:rsidRDefault="00CA5B1B">
            <w:pPr>
              <w:pStyle w:val="Standard"/>
            </w:pPr>
            <w:r>
              <w:rPr>
                <w:sz w:val="22"/>
                <w:szCs w:val="22"/>
                <w:lang w:val="en-US"/>
              </w:rPr>
              <w:t>Assistance dogs are welcomed (sticker requested 9.10.2008)</w:t>
            </w:r>
          </w:p>
        </w:tc>
      </w:tr>
      <w:tr w:rsidR="00BA6FF1" w14:paraId="70BA39B9" w14:textId="77777777">
        <w:trPr>
          <w:trHeight w:val="255"/>
        </w:trPr>
        <w:tc>
          <w:tcPr>
            <w:tcW w:w="6729" w:type="dxa"/>
            <w:gridSpan w:val="2"/>
            <w:shd w:val="clear" w:color="auto" w:fill="FFFFFF"/>
            <w:tcMar>
              <w:top w:w="0" w:type="dxa"/>
              <w:left w:w="108" w:type="dxa"/>
              <w:bottom w:w="0" w:type="dxa"/>
              <w:right w:w="108" w:type="dxa"/>
            </w:tcMar>
            <w:vAlign w:val="bottom"/>
          </w:tcPr>
          <w:p w14:paraId="70BA39B8" w14:textId="77777777" w:rsidR="00BA6FF1" w:rsidRDefault="00CA5B1B">
            <w:pPr>
              <w:pStyle w:val="Standard"/>
            </w:pPr>
            <w:r>
              <w:rPr>
                <w:b/>
                <w:bCs/>
                <w:sz w:val="22"/>
                <w:szCs w:val="22"/>
                <w:lang w:val="en-US"/>
              </w:rPr>
              <w:t>Advice service via:</w:t>
            </w:r>
          </w:p>
        </w:tc>
      </w:tr>
      <w:tr w:rsidR="00BA6FF1" w14:paraId="70BA39BB" w14:textId="77777777">
        <w:trPr>
          <w:trHeight w:val="255"/>
        </w:trPr>
        <w:tc>
          <w:tcPr>
            <w:tcW w:w="6729" w:type="dxa"/>
            <w:gridSpan w:val="2"/>
            <w:shd w:val="clear" w:color="auto" w:fill="FFFFFF"/>
            <w:tcMar>
              <w:top w:w="0" w:type="dxa"/>
              <w:left w:w="108" w:type="dxa"/>
              <w:bottom w:w="0" w:type="dxa"/>
              <w:right w:w="108" w:type="dxa"/>
            </w:tcMar>
            <w:vAlign w:val="bottom"/>
          </w:tcPr>
          <w:p w14:paraId="70BA39BA" w14:textId="77777777" w:rsidR="00BA6FF1" w:rsidRDefault="00CA5B1B">
            <w:pPr>
              <w:pStyle w:val="Standard"/>
            </w:pPr>
            <w:r>
              <w:rPr>
                <w:sz w:val="22"/>
                <w:szCs w:val="22"/>
                <w:lang w:val="en-US"/>
              </w:rPr>
              <w:t>Telephone</w:t>
            </w:r>
          </w:p>
        </w:tc>
      </w:tr>
      <w:tr w:rsidR="00BA6FF1" w14:paraId="70BA39BD" w14:textId="77777777">
        <w:trPr>
          <w:trHeight w:val="255"/>
        </w:trPr>
        <w:tc>
          <w:tcPr>
            <w:tcW w:w="6729" w:type="dxa"/>
            <w:gridSpan w:val="2"/>
            <w:shd w:val="clear" w:color="auto" w:fill="FFFFFF"/>
            <w:tcMar>
              <w:top w:w="0" w:type="dxa"/>
              <w:left w:w="108" w:type="dxa"/>
              <w:bottom w:w="0" w:type="dxa"/>
              <w:right w:w="108" w:type="dxa"/>
            </w:tcMar>
            <w:vAlign w:val="bottom"/>
          </w:tcPr>
          <w:p w14:paraId="70BA39BC" w14:textId="77777777" w:rsidR="00BA6FF1" w:rsidRDefault="00CA5B1B">
            <w:pPr>
              <w:pStyle w:val="Standard"/>
            </w:pPr>
            <w:r>
              <w:rPr>
                <w:sz w:val="22"/>
                <w:szCs w:val="22"/>
                <w:lang w:val="en-US"/>
              </w:rPr>
              <w:t>Email</w:t>
            </w:r>
          </w:p>
        </w:tc>
      </w:tr>
      <w:tr w:rsidR="00BA6FF1" w14:paraId="70BA39BF" w14:textId="77777777">
        <w:trPr>
          <w:trHeight w:val="255"/>
        </w:trPr>
        <w:tc>
          <w:tcPr>
            <w:tcW w:w="6729" w:type="dxa"/>
            <w:gridSpan w:val="2"/>
            <w:shd w:val="clear" w:color="auto" w:fill="FFFFFF"/>
            <w:tcMar>
              <w:top w:w="0" w:type="dxa"/>
              <w:left w:w="108" w:type="dxa"/>
              <w:bottom w:w="0" w:type="dxa"/>
              <w:right w:w="108" w:type="dxa"/>
            </w:tcMar>
            <w:vAlign w:val="bottom"/>
          </w:tcPr>
          <w:p w14:paraId="70BA39BE" w14:textId="77777777" w:rsidR="00BA6FF1" w:rsidRDefault="00CA5B1B">
            <w:pPr>
              <w:pStyle w:val="Standard"/>
            </w:pPr>
            <w:r>
              <w:rPr>
                <w:sz w:val="22"/>
                <w:szCs w:val="22"/>
                <w:lang w:val="en-US"/>
              </w:rPr>
              <w:t>Contact via website</w:t>
            </w:r>
          </w:p>
        </w:tc>
      </w:tr>
      <w:tr w:rsidR="00BA6FF1" w14:paraId="70BA39C1" w14:textId="77777777">
        <w:trPr>
          <w:trHeight w:val="255"/>
        </w:trPr>
        <w:tc>
          <w:tcPr>
            <w:tcW w:w="6729" w:type="dxa"/>
            <w:gridSpan w:val="2"/>
            <w:shd w:val="clear" w:color="auto" w:fill="FFFFFF"/>
            <w:tcMar>
              <w:top w:w="0" w:type="dxa"/>
              <w:left w:w="108" w:type="dxa"/>
              <w:bottom w:w="0" w:type="dxa"/>
              <w:right w:w="108" w:type="dxa"/>
            </w:tcMar>
            <w:vAlign w:val="bottom"/>
          </w:tcPr>
          <w:p w14:paraId="70BA39C0" w14:textId="77777777" w:rsidR="00BA6FF1" w:rsidRDefault="00CA5B1B">
            <w:pPr>
              <w:pStyle w:val="Standard"/>
            </w:pPr>
            <w:r>
              <w:rPr>
                <w:sz w:val="22"/>
                <w:szCs w:val="22"/>
                <w:lang w:val="en-US"/>
              </w:rPr>
              <w:t>Letter</w:t>
            </w:r>
          </w:p>
        </w:tc>
      </w:tr>
      <w:tr w:rsidR="00BA6FF1" w14:paraId="70BA39C3" w14:textId="77777777">
        <w:trPr>
          <w:trHeight w:val="255"/>
        </w:trPr>
        <w:tc>
          <w:tcPr>
            <w:tcW w:w="6729" w:type="dxa"/>
            <w:gridSpan w:val="2"/>
            <w:shd w:val="clear" w:color="auto" w:fill="FFFFFF"/>
            <w:tcMar>
              <w:top w:w="0" w:type="dxa"/>
              <w:left w:w="108" w:type="dxa"/>
              <w:bottom w:w="0" w:type="dxa"/>
              <w:right w:w="108" w:type="dxa"/>
            </w:tcMar>
            <w:vAlign w:val="bottom"/>
          </w:tcPr>
          <w:p w14:paraId="70BA39C2" w14:textId="77777777" w:rsidR="00BA6FF1" w:rsidRDefault="00CA5B1B">
            <w:pPr>
              <w:pStyle w:val="Standard"/>
            </w:pPr>
            <w:r>
              <w:rPr>
                <w:sz w:val="22"/>
                <w:szCs w:val="22"/>
                <w:lang w:val="en-US"/>
              </w:rPr>
              <w:t>Texting from mobile phone</w:t>
            </w:r>
          </w:p>
        </w:tc>
      </w:tr>
      <w:tr w:rsidR="00BA6FF1" w14:paraId="70BA39C5" w14:textId="77777777">
        <w:trPr>
          <w:trHeight w:val="255"/>
        </w:trPr>
        <w:tc>
          <w:tcPr>
            <w:tcW w:w="6729" w:type="dxa"/>
            <w:gridSpan w:val="2"/>
            <w:shd w:val="clear" w:color="auto" w:fill="FFFFFF"/>
            <w:tcMar>
              <w:top w:w="0" w:type="dxa"/>
              <w:left w:w="108" w:type="dxa"/>
              <w:bottom w:w="0" w:type="dxa"/>
              <w:right w:w="108" w:type="dxa"/>
            </w:tcMar>
            <w:vAlign w:val="bottom"/>
          </w:tcPr>
          <w:p w14:paraId="70BA39C4" w14:textId="77777777" w:rsidR="00BA6FF1" w:rsidRDefault="00CA5B1B">
            <w:pPr>
              <w:pStyle w:val="Standard"/>
            </w:pPr>
            <w:r>
              <w:rPr>
                <w:b/>
                <w:bCs/>
                <w:sz w:val="22"/>
                <w:szCs w:val="22"/>
                <w:lang w:val="en-US"/>
              </w:rPr>
              <w:t>Reasonable adjustments made</w:t>
            </w:r>
          </w:p>
        </w:tc>
      </w:tr>
      <w:tr w:rsidR="00BA6FF1" w14:paraId="70BA39C7" w14:textId="77777777">
        <w:trPr>
          <w:trHeight w:val="255"/>
        </w:trPr>
        <w:tc>
          <w:tcPr>
            <w:tcW w:w="6729" w:type="dxa"/>
            <w:gridSpan w:val="2"/>
            <w:shd w:val="clear" w:color="auto" w:fill="FFFFFF"/>
            <w:tcMar>
              <w:top w:w="0" w:type="dxa"/>
              <w:left w:w="108" w:type="dxa"/>
              <w:bottom w:w="0" w:type="dxa"/>
              <w:right w:w="108" w:type="dxa"/>
            </w:tcMar>
            <w:vAlign w:val="bottom"/>
          </w:tcPr>
          <w:p w14:paraId="70BA39C6" w14:textId="77777777" w:rsidR="00BA6FF1" w:rsidRDefault="00CA5B1B">
            <w:pPr>
              <w:pStyle w:val="Standard"/>
            </w:pPr>
            <w:r>
              <w:rPr>
                <w:sz w:val="22"/>
                <w:szCs w:val="22"/>
                <w:lang w:val="en-US"/>
              </w:rPr>
              <w:t>For our clients e.g. large printed letters</w:t>
            </w:r>
          </w:p>
        </w:tc>
      </w:tr>
      <w:tr w:rsidR="00BA6FF1" w14:paraId="70BA39C9" w14:textId="77777777">
        <w:trPr>
          <w:trHeight w:val="255"/>
        </w:trPr>
        <w:tc>
          <w:tcPr>
            <w:tcW w:w="6729" w:type="dxa"/>
            <w:gridSpan w:val="2"/>
            <w:shd w:val="clear" w:color="auto" w:fill="FFFFFF"/>
            <w:tcMar>
              <w:top w:w="0" w:type="dxa"/>
              <w:left w:w="108" w:type="dxa"/>
              <w:bottom w:w="0" w:type="dxa"/>
              <w:right w:w="108" w:type="dxa"/>
            </w:tcMar>
            <w:vAlign w:val="bottom"/>
          </w:tcPr>
          <w:p w14:paraId="70BA39C8" w14:textId="77777777" w:rsidR="00BA6FF1" w:rsidRDefault="00CA5B1B">
            <w:pPr>
              <w:pStyle w:val="Standard"/>
            </w:pPr>
            <w:r>
              <w:rPr>
                <w:sz w:val="22"/>
                <w:szCs w:val="22"/>
                <w:lang w:val="en-US"/>
              </w:rPr>
              <w:t>Complaints are encouraged</w:t>
            </w:r>
          </w:p>
        </w:tc>
      </w:tr>
      <w:tr w:rsidR="00BA6FF1" w14:paraId="70BA39CB" w14:textId="77777777">
        <w:trPr>
          <w:trHeight w:val="255"/>
        </w:trPr>
        <w:tc>
          <w:tcPr>
            <w:tcW w:w="6729" w:type="dxa"/>
            <w:gridSpan w:val="2"/>
            <w:shd w:val="clear" w:color="auto" w:fill="FFFFFF"/>
            <w:tcMar>
              <w:top w:w="0" w:type="dxa"/>
              <w:left w:w="108" w:type="dxa"/>
              <w:bottom w:w="0" w:type="dxa"/>
              <w:right w:w="108" w:type="dxa"/>
            </w:tcMar>
            <w:vAlign w:val="bottom"/>
          </w:tcPr>
          <w:p w14:paraId="70BA39CA" w14:textId="77777777" w:rsidR="00BA6FF1" w:rsidRDefault="00CA5B1B">
            <w:pPr>
              <w:pStyle w:val="Standard"/>
            </w:pPr>
            <w:r>
              <w:rPr>
                <w:sz w:val="22"/>
                <w:szCs w:val="22"/>
                <w:lang w:val="en-US"/>
              </w:rPr>
              <w:t>Training participants are asked to state their needs and duly met .</w:t>
            </w:r>
          </w:p>
        </w:tc>
      </w:tr>
      <w:tr w:rsidR="00BA6FF1" w14:paraId="70BA39CD" w14:textId="77777777">
        <w:trPr>
          <w:trHeight w:val="255"/>
        </w:trPr>
        <w:tc>
          <w:tcPr>
            <w:tcW w:w="6729" w:type="dxa"/>
            <w:gridSpan w:val="2"/>
            <w:shd w:val="clear" w:color="auto" w:fill="FFFFFF"/>
            <w:tcMar>
              <w:top w:w="0" w:type="dxa"/>
              <w:left w:w="108" w:type="dxa"/>
              <w:bottom w:w="0" w:type="dxa"/>
              <w:right w:w="108" w:type="dxa"/>
            </w:tcMar>
            <w:vAlign w:val="bottom"/>
          </w:tcPr>
          <w:p w14:paraId="70BA39CC" w14:textId="77777777" w:rsidR="00BA6FF1" w:rsidRDefault="00CA5B1B">
            <w:pPr>
              <w:pStyle w:val="Standard"/>
            </w:pPr>
            <w:r>
              <w:rPr>
                <w:b/>
                <w:bCs/>
                <w:sz w:val="22"/>
                <w:szCs w:val="22"/>
                <w:lang w:val="en-US"/>
              </w:rPr>
              <w:t>Our AGMs / meetings</w:t>
            </w:r>
          </w:p>
        </w:tc>
      </w:tr>
      <w:tr w:rsidR="00BA6FF1" w14:paraId="70BA39CF" w14:textId="77777777">
        <w:trPr>
          <w:trHeight w:val="255"/>
        </w:trPr>
        <w:tc>
          <w:tcPr>
            <w:tcW w:w="6729" w:type="dxa"/>
            <w:gridSpan w:val="2"/>
            <w:shd w:val="clear" w:color="auto" w:fill="FFFFFF"/>
            <w:tcMar>
              <w:top w:w="0" w:type="dxa"/>
              <w:left w:w="108" w:type="dxa"/>
              <w:bottom w:w="0" w:type="dxa"/>
              <w:right w:w="108" w:type="dxa"/>
            </w:tcMar>
            <w:vAlign w:val="bottom"/>
          </w:tcPr>
          <w:p w14:paraId="70BA39CE" w14:textId="77777777" w:rsidR="00BA6FF1" w:rsidRDefault="00CA5B1B">
            <w:pPr>
              <w:pStyle w:val="Standard"/>
            </w:pPr>
            <w:r>
              <w:rPr>
                <w:sz w:val="22"/>
                <w:szCs w:val="22"/>
                <w:lang w:val="en-US"/>
              </w:rPr>
              <w:t>Sign language interpreter and speech to text operators are booked.</w:t>
            </w:r>
          </w:p>
        </w:tc>
      </w:tr>
      <w:tr w:rsidR="00BA6FF1" w14:paraId="70BA39D1" w14:textId="77777777">
        <w:trPr>
          <w:trHeight w:val="255"/>
        </w:trPr>
        <w:tc>
          <w:tcPr>
            <w:tcW w:w="6729" w:type="dxa"/>
            <w:gridSpan w:val="2"/>
            <w:shd w:val="clear" w:color="auto" w:fill="FFFFFF"/>
            <w:tcMar>
              <w:top w:w="0" w:type="dxa"/>
              <w:left w:w="108" w:type="dxa"/>
              <w:bottom w:w="0" w:type="dxa"/>
              <w:right w:w="108" w:type="dxa"/>
            </w:tcMar>
            <w:vAlign w:val="bottom"/>
          </w:tcPr>
          <w:p w14:paraId="70BA39D0" w14:textId="77777777" w:rsidR="00BA6FF1" w:rsidRDefault="00CA5B1B">
            <w:pPr>
              <w:pStyle w:val="Standard"/>
            </w:pPr>
            <w:r>
              <w:rPr>
                <w:b/>
                <w:bCs/>
                <w:sz w:val="22"/>
                <w:szCs w:val="22"/>
                <w:lang w:val="en-US"/>
              </w:rPr>
              <w:t>Meeting room and reception area</w:t>
            </w:r>
          </w:p>
        </w:tc>
      </w:tr>
      <w:tr w:rsidR="00BA6FF1" w14:paraId="70BA39D3" w14:textId="77777777">
        <w:trPr>
          <w:trHeight w:val="255"/>
        </w:trPr>
        <w:tc>
          <w:tcPr>
            <w:tcW w:w="6729" w:type="dxa"/>
            <w:gridSpan w:val="2"/>
            <w:shd w:val="clear" w:color="auto" w:fill="FFFFFF"/>
            <w:tcMar>
              <w:top w:w="0" w:type="dxa"/>
              <w:left w:w="108" w:type="dxa"/>
              <w:bottom w:w="0" w:type="dxa"/>
              <w:right w:w="108" w:type="dxa"/>
            </w:tcMar>
            <w:vAlign w:val="bottom"/>
          </w:tcPr>
          <w:p w14:paraId="70BA39D2" w14:textId="77777777" w:rsidR="00BA6FF1" w:rsidRDefault="00CA5B1B">
            <w:pPr>
              <w:pStyle w:val="Standard"/>
            </w:pPr>
            <w:r>
              <w:rPr>
                <w:sz w:val="22"/>
                <w:szCs w:val="22"/>
                <w:lang w:val="en-US"/>
              </w:rPr>
              <w:t>Has loop systems installed</w:t>
            </w:r>
          </w:p>
        </w:tc>
      </w:tr>
    </w:tbl>
    <w:p w14:paraId="70BA39D4" w14:textId="77777777" w:rsidR="00BA6FF1" w:rsidRDefault="00CA5B1B">
      <w:pPr>
        <w:pStyle w:val="Standard"/>
        <w:spacing w:before="28" w:after="28"/>
        <w:rPr>
          <w:color w:val="000000"/>
        </w:rPr>
      </w:pPr>
      <w:r>
        <w:rPr>
          <w:color w:val="000000"/>
          <w:lang w:eastAsia="en-GB"/>
        </w:rPr>
        <w:t>DUWC will also seek to ensure that the outreach centres are compliant with all current guidance and that all premises comply with Building Regulations with regard to accessibility.</w:t>
      </w:r>
    </w:p>
    <w:p w14:paraId="70BA39D5" w14:textId="77777777" w:rsidR="00BA6FF1" w:rsidRDefault="00CA5B1B">
      <w:pPr>
        <w:pStyle w:val="Standard"/>
        <w:spacing w:before="28" w:after="28"/>
      </w:pPr>
      <w:r>
        <w:rPr>
          <w:i/>
          <w:color w:val="3D3A3B"/>
          <w:lang w:eastAsia="en-GB"/>
        </w:rPr>
        <w:t>A review of current premises with regard to accessibility will be undertaken by the Lead Trustee within the next 18 months.</w:t>
      </w:r>
    </w:p>
    <w:p w14:paraId="70BA39D6" w14:textId="77777777" w:rsidR="00BA6FF1" w:rsidRDefault="00BA6FF1">
      <w:pPr>
        <w:pStyle w:val="Standard"/>
        <w:spacing w:before="28" w:after="28"/>
      </w:pPr>
    </w:p>
    <w:p w14:paraId="70BA39D7" w14:textId="77777777" w:rsidR="00BA6FF1" w:rsidRDefault="00CA5B1B">
      <w:pPr>
        <w:pStyle w:val="Standard"/>
        <w:spacing w:before="28" w:after="28"/>
        <w:rPr>
          <w:color w:val="000000"/>
        </w:rPr>
      </w:pPr>
      <w:r>
        <w:rPr>
          <w:b/>
          <w:color w:val="000000"/>
          <w:lang w:eastAsia="en-GB"/>
        </w:rPr>
        <w:t>12</w:t>
      </w:r>
      <w:r>
        <w:rPr>
          <w:b/>
          <w:color w:val="000000"/>
          <w:lang w:eastAsia="en-GB"/>
        </w:rPr>
        <w:tab/>
        <w:t>Working with Contractors and Suppliers</w:t>
      </w:r>
    </w:p>
    <w:p w14:paraId="70BA39D8" w14:textId="77777777" w:rsidR="00BA6FF1" w:rsidRDefault="00CA5B1B">
      <w:pPr>
        <w:pStyle w:val="Standard"/>
      </w:pPr>
      <w:r>
        <w:t>DUWC will ensure that there is no discrimination in any procurement of goods and services or in the services received from providers. Where required DUWC will provide a copy of our Equality and Diversity policy to contractors and suppliers and/or ask for evidence of their equality and diversity policy.</w:t>
      </w:r>
    </w:p>
    <w:p w14:paraId="70BA39D9" w14:textId="77777777" w:rsidR="00BA6FF1" w:rsidRDefault="00BA6FF1">
      <w:pPr>
        <w:pStyle w:val="Standard"/>
      </w:pPr>
    </w:p>
    <w:p w14:paraId="70BA39DA" w14:textId="77777777" w:rsidR="00BA6FF1" w:rsidRDefault="00CA5B1B">
      <w:pPr>
        <w:pStyle w:val="Standard"/>
      </w:pPr>
      <w:r>
        <w:t>Should the provider or supplier</w:t>
      </w:r>
      <w:r w:rsidR="00924AFA">
        <w:t xml:space="preserve"> be</w:t>
      </w:r>
      <w:r>
        <w:t xml:space="preserve"> found to be discriminatory towards our clients or staff then this matter will be dealt either by:</w:t>
      </w:r>
    </w:p>
    <w:p w14:paraId="70BA39DB" w14:textId="77777777" w:rsidR="00BA6FF1" w:rsidRDefault="00BA6FF1">
      <w:pPr>
        <w:pStyle w:val="Standard"/>
      </w:pPr>
    </w:p>
    <w:p w14:paraId="70BA39DC" w14:textId="77777777" w:rsidR="00BA6FF1" w:rsidRDefault="00CA5B1B">
      <w:pPr>
        <w:pStyle w:val="Standard"/>
        <w:numPr>
          <w:ilvl w:val="0"/>
          <w:numId w:val="42"/>
        </w:numPr>
      </w:pPr>
      <w:r>
        <w:t>Discussing informally directly with the supplier/provider</w:t>
      </w:r>
    </w:p>
    <w:p w14:paraId="70BA39DD" w14:textId="77777777" w:rsidR="00BA6FF1" w:rsidRDefault="00CA5B1B">
      <w:pPr>
        <w:pStyle w:val="Standard"/>
        <w:numPr>
          <w:ilvl w:val="0"/>
          <w:numId w:val="31"/>
        </w:numPr>
      </w:pPr>
      <w:r>
        <w:t>Ending the contract and/or</w:t>
      </w:r>
    </w:p>
    <w:p w14:paraId="70BA39DE" w14:textId="77777777" w:rsidR="00BA6FF1" w:rsidRDefault="00CA5B1B">
      <w:pPr>
        <w:pStyle w:val="Standard"/>
        <w:numPr>
          <w:ilvl w:val="0"/>
          <w:numId w:val="31"/>
        </w:numPr>
      </w:pPr>
      <w:r>
        <w:t>Remove their details from DUWC’s list of suppliers and contractors.</w:t>
      </w:r>
    </w:p>
    <w:p w14:paraId="70BA39DF" w14:textId="77777777" w:rsidR="00BA6FF1" w:rsidRDefault="00BA6FF1">
      <w:pPr>
        <w:pStyle w:val="Standard"/>
        <w:ind w:left="788"/>
      </w:pPr>
    </w:p>
    <w:p w14:paraId="70BA39E0" w14:textId="77777777" w:rsidR="00BA6FF1" w:rsidRDefault="00BA6FF1">
      <w:pPr>
        <w:pStyle w:val="Standard"/>
        <w:spacing w:before="28" w:after="28"/>
        <w:rPr>
          <w:b/>
          <w:color w:val="3D3A3B"/>
          <w:lang w:eastAsia="en-GB"/>
        </w:rPr>
      </w:pPr>
    </w:p>
    <w:p w14:paraId="70BA39E1" w14:textId="77777777" w:rsidR="00BA6FF1" w:rsidRDefault="00BA6FF1">
      <w:pPr>
        <w:pStyle w:val="Standard"/>
      </w:pPr>
    </w:p>
    <w:sectPr w:rsidR="00BA6FF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A39E4" w14:textId="77777777" w:rsidR="00A67040" w:rsidRDefault="00CA5B1B">
      <w:pPr>
        <w:spacing w:after="0" w:line="240" w:lineRule="auto"/>
      </w:pPr>
      <w:r>
        <w:separator/>
      </w:r>
    </w:p>
  </w:endnote>
  <w:endnote w:type="continuationSeparator" w:id="0">
    <w:p w14:paraId="70BA39E5" w14:textId="77777777" w:rsidR="00A67040" w:rsidRDefault="00CA5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A39E2" w14:textId="77777777" w:rsidR="00A67040" w:rsidRDefault="00CA5B1B">
      <w:pPr>
        <w:spacing w:after="0" w:line="240" w:lineRule="auto"/>
      </w:pPr>
      <w:r>
        <w:rPr>
          <w:color w:val="000000"/>
        </w:rPr>
        <w:separator/>
      </w:r>
    </w:p>
  </w:footnote>
  <w:footnote w:type="continuationSeparator" w:id="0">
    <w:p w14:paraId="70BA39E3" w14:textId="77777777" w:rsidR="00A67040" w:rsidRDefault="00CA5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7D9"/>
    <w:multiLevelType w:val="multilevel"/>
    <w:tmpl w:val="B89E116E"/>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C75F2B"/>
    <w:multiLevelType w:val="multilevel"/>
    <w:tmpl w:val="8C7E5602"/>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C8444D0"/>
    <w:multiLevelType w:val="multilevel"/>
    <w:tmpl w:val="544E8A94"/>
    <w:styleLink w:val="WWNum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89F3F4A"/>
    <w:multiLevelType w:val="multilevel"/>
    <w:tmpl w:val="53A690BC"/>
    <w:styleLink w:val="WWNum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684443"/>
    <w:multiLevelType w:val="multilevel"/>
    <w:tmpl w:val="EFECB0D2"/>
    <w:styleLink w:val="WWNum1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1E7105B3"/>
    <w:multiLevelType w:val="multilevel"/>
    <w:tmpl w:val="B24CB99A"/>
    <w:styleLink w:val="WWNum1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F775BB1"/>
    <w:multiLevelType w:val="multilevel"/>
    <w:tmpl w:val="D430EF5C"/>
    <w:styleLink w:val="WWNum21"/>
    <w:lvl w:ilvl="0">
      <w:numFmt w:val="bullet"/>
      <w:lvlText w:val=""/>
      <w:lvlJc w:val="left"/>
      <w:pPr>
        <w:ind w:left="855" w:hanging="360"/>
      </w:pPr>
      <w:rPr>
        <w:rFonts w:ascii="Symbol" w:hAnsi="Symbol"/>
      </w:rPr>
    </w:lvl>
    <w:lvl w:ilvl="1">
      <w:numFmt w:val="bullet"/>
      <w:lvlText w:val="o"/>
      <w:lvlJc w:val="left"/>
      <w:pPr>
        <w:ind w:left="1575" w:hanging="360"/>
      </w:pPr>
      <w:rPr>
        <w:rFonts w:ascii="Courier New" w:hAnsi="Courier New" w:cs="Courier New"/>
      </w:rPr>
    </w:lvl>
    <w:lvl w:ilvl="2">
      <w:numFmt w:val="bullet"/>
      <w:lvlText w:val=""/>
      <w:lvlJc w:val="left"/>
      <w:pPr>
        <w:ind w:left="2295" w:hanging="360"/>
      </w:pPr>
      <w:rPr>
        <w:rFonts w:ascii="Wingdings" w:hAnsi="Wingdings"/>
      </w:rPr>
    </w:lvl>
    <w:lvl w:ilvl="3">
      <w:numFmt w:val="bullet"/>
      <w:lvlText w:val=""/>
      <w:lvlJc w:val="left"/>
      <w:pPr>
        <w:ind w:left="3015" w:hanging="360"/>
      </w:pPr>
      <w:rPr>
        <w:rFonts w:ascii="Symbol" w:hAnsi="Symbol"/>
      </w:rPr>
    </w:lvl>
    <w:lvl w:ilvl="4">
      <w:numFmt w:val="bullet"/>
      <w:lvlText w:val="o"/>
      <w:lvlJc w:val="left"/>
      <w:pPr>
        <w:ind w:left="3735" w:hanging="360"/>
      </w:pPr>
      <w:rPr>
        <w:rFonts w:ascii="Courier New" w:hAnsi="Courier New" w:cs="Courier New"/>
      </w:rPr>
    </w:lvl>
    <w:lvl w:ilvl="5">
      <w:numFmt w:val="bullet"/>
      <w:lvlText w:val=""/>
      <w:lvlJc w:val="left"/>
      <w:pPr>
        <w:ind w:left="4455" w:hanging="360"/>
      </w:pPr>
      <w:rPr>
        <w:rFonts w:ascii="Wingdings" w:hAnsi="Wingdings"/>
      </w:rPr>
    </w:lvl>
    <w:lvl w:ilvl="6">
      <w:numFmt w:val="bullet"/>
      <w:lvlText w:val=""/>
      <w:lvlJc w:val="left"/>
      <w:pPr>
        <w:ind w:left="5175" w:hanging="360"/>
      </w:pPr>
      <w:rPr>
        <w:rFonts w:ascii="Symbol" w:hAnsi="Symbol"/>
      </w:rPr>
    </w:lvl>
    <w:lvl w:ilvl="7">
      <w:numFmt w:val="bullet"/>
      <w:lvlText w:val="o"/>
      <w:lvlJc w:val="left"/>
      <w:pPr>
        <w:ind w:left="5895" w:hanging="360"/>
      </w:pPr>
      <w:rPr>
        <w:rFonts w:ascii="Courier New" w:hAnsi="Courier New" w:cs="Courier New"/>
      </w:rPr>
    </w:lvl>
    <w:lvl w:ilvl="8">
      <w:numFmt w:val="bullet"/>
      <w:lvlText w:val=""/>
      <w:lvlJc w:val="left"/>
      <w:pPr>
        <w:ind w:left="6615" w:hanging="360"/>
      </w:pPr>
      <w:rPr>
        <w:rFonts w:ascii="Wingdings" w:hAnsi="Wingdings"/>
      </w:rPr>
    </w:lvl>
  </w:abstractNum>
  <w:abstractNum w:abstractNumId="7" w15:restartNumberingAfterBreak="0">
    <w:nsid w:val="26BB024C"/>
    <w:multiLevelType w:val="multilevel"/>
    <w:tmpl w:val="8A905D80"/>
    <w:styleLink w:val="WWNum1"/>
    <w:lvl w:ilvl="0">
      <w:numFmt w:val="bullet"/>
      <w:lvlText w:val="-"/>
      <w:lvlJc w:val="left"/>
      <w:pPr>
        <w:ind w:left="360" w:hanging="360"/>
      </w:pPr>
      <w:rPr>
        <w:rFonts w:eastAsia="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B2851E0"/>
    <w:multiLevelType w:val="multilevel"/>
    <w:tmpl w:val="66762D0E"/>
    <w:styleLink w:val="WWNum14"/>
    <w:lvl w:ilvl="0">
      <w:start w:val="6"/>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33AF06A0"/>
    <w:multiLevelType w:val="multilevel"/>
    <w:tmpl w:val="A67A4028"/>
    <w:styleLink w:val="WWNum2"/>
    <w:lvl w:ilvl="0">
      <w:numFmt w:val="bullet"/>
      <w:lvlText w:val="o"/>
      <w:lvlJc w:val="left"/>
      <w:pPr>
        <w:ind w:left="720" w:hanging="36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7B273AB"/>
    <w:multiLevelType w:val="multilevel"/>
    <w:tmpl w:val="78F0FA58"/>
    <w:styleLink w:val="WWNum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385C629C"/>
    <w:multiLevelType w:val="multilevel"/>
    <w:tmpl w:val="7C345BEC"/>
    <w:styleLink w:val="WWNum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91B7FAA"/>
    <w:multiLevelType w:val="multilevel"/>
    <w:tmpl w:val="D93EB690"/>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2D77E7"/>
    <w:multiLevelType w:val="multilevel"/>
    <w:tmpl w:val="7940014C"/>
    <w:styleLink w:val="WWNum1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4" w15:restartNumberingAfterBreak="0">
    <w:nsid w:val="4E18452B"/>
    <w:multiLevelType w:val="multilevel"/>
    <w:tmpl w:val="773A547E"/>
    <w:styleLink w:val="WWNum5"/>
    <w:lvl w:ilvl="0">
      <w:start w:val="4"/>
      <w:numFmt w:val="decimal"/>
      <w:lvlText w:val="%1"/>
      <w:lvlJc w:val="left"/>
      <w:pPr>
        <w:ind w:left="1440" w:hanging="1440"/>
      </w:pPr>
    </w:lvl>
    <w:lvl w:ilvl="1">
      <w:start w:val="1"/>
      <w:numFmt w:val="decimal"/>
      <w:lvlText w:val="%1.%2"/>
      <w:lvlJc w:val="left"/>
      <w:pPr>
        <w:ind w:left="1440" w:hanging="1440"/>
      </w:pPr>
    </w:lvl>
    <w:lvl w:ilvl="2">
      <w:start w:val="2"/>
      <w:numFmt w:val="decimal"/>
      <w:lvlText w:val="%1.%2.%3"/>
      <w:lvlJc w:val="left"/>
      <w:pPr>
        <w:ind w:left="1440" w:hanging="1440"/>
      </w:pPr>
    </w:lvl>
    <w:lvl w:ilvl="3">
      <w:start w:val="1"/>
      <w:numFmt w:val="decimal"/>
      <w:lvlText w:val="%1.%2.%3.%4"/>
      <w:lvlJc w:val="left"/>
      <w:pPr>
        <w:ind w:left="1440" w:hanging="1440"/>
      </w:pPr>
    </w:lvl>
    <w:lvl w:ilvl="4">
      <w:start w:val="1"/>
      <w:numFmt w:val="lowerLetter"/>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527C2EE5"/>
    <w:multiLevelType w:val="multilevel"/>
    <w:tmpl w:val="927AE2FE"/>
    <w:styleLink w:val="WWNum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52B1843"/>
    <w:multiLevelType w:val="multilevel"/>
    <w:tmpl w:val="DD3E415A"/>
    <w:styleLink w:val="WWNum2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75D515F"/>
    <w:multiLevelType w:val="multilevel"/>
    <w:tmpl w:val="BCEC216A"/>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B2C00F7"/>
    <w:multiLevelType w:val="multilevel"/>
    <w:tmpl w:val="764E1520"/>
    <w:styleLink w:val="WWNum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BEB07F4"/>
    <w:multiLevelType w:val="multilevel"/>
    <w:tmpl w:val="7352A7A8"/>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BEF20FA"/>
    <w:multiLevelType w:val="multilevel"/>
    <w:tmpl w:val="82B4944C"/>
    <w:styleLink w:val="WWNum25"/>
    <w:lvl w:ilvl="0">
      <w:numFmt w:val="bullet"/>
      <w:lvlText w:val=""/>
      <w:lvlJc w:val="left"/>
      <w:pPr>
        <w:ind w:left="786" w:hanging="360"/>
      </w:pPr>
      <w:rPr>
        <w:rFonts w:ascii="Symbol" w:hAnsi="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21" w15:restartNumberingAfterBreak="0">
    <w:nsid w:val="627565E3"/>
    <w:multiLevelType w:val="multilevel"/>
    <w:tmpl w:val="FD52D324"/>
    <w:styleLink w:val="WWNum19"/>
    <w:lvl w:ilvl="0">
      <w:numFmt w:val="bullet"/>
      <w:lvlText w:val=""/>
      <w:lvlJc w:val="left"/>
      <w:pPr>
        <w:ind w:left="1215" w:hanging="360"/>
      </w:pPr>
      <w:rPr>
        <w:rFonts w:ascii="Symbol" w:hAnsi="Symbol"/>
      </w:rPr>
    </w:lvl>
    <w:lvl w:ilvl="1">
      <w:numFmt w:val="bullet"/>
      <w:lvlText w:val="o"/>
      <w:lvlJc w:val="left"/>
      <w:pPr>
        <w:ind w:left="1935" w:hanging="360"/>
      </w:pPr>
      <w:rPr>
        <w:rFonts w:ascii="Courier New" w:hAnsi="Courier New" w:cs="Courier New"/>
      </w:rPr>
    </w:lvl>
    <w:lvl w:ilvl="2">
      <w:numFmt w:val="bullet"/>
      <w:lvlText w:val=""/>
      <w:lvlJc w:val="left"/>
      <w:pPr>
        <w:ind w:left="2655" w:hanging="360"/>
      </w:pPr>
      <w:rPr>
        <w:rFonts w:ascii="Wingdings" w:hAnsi="Wingdings"/>
      </w:rPr>
    </w:lvl>
    <w:lvl w:ilvl="3">
      <w:numFmt w:val="bullet"/>
      <w:lvlText w:val=""/>
      <w:lvlJc w:val="left"/>
      <w:pPr>
        <w:ind w:left="3375" w:hanging="360"/>
      </w:pPr>
      <w:rPr>
        <w:rFonts w:ascii="Symbol" w:hAnsi="Symbol"/>
      </w:rPr>
    </w:lvl>
    <w:lvl w:ilvl="4">
      <w:numFmt w:val="bullet"/>
      <w:lvlText w:val="o"/>
      <w:lvlJc w:val="left"/>
      <w:pPr>
        <w:ind w:left="4095" w:hanging="360"/>
      </w:pPr>
      <w:rPr>
        <w:rFonts w:ascii="Courier New" w:hAnsi="Courier New" w:cs="Courier New"/>
      </w:rPr>
    </w:lvl>
    <w:lvl w:ilvl="5">
      <w:numFmt w:val="bullet"/>
      <w:lvlText w:val=""/>
      <w:lvlJc w:val="left"/>
      <w:pPr>
        <w:ind w:left="4815" w:hanging="360"/>
      </w:pPr>
      <w:rPr>
        <w:rFonts w:ascii="Wingdings" w:hAnsi="Wingdings"/>
      </w:rPr>
    </w:lvl>
    <w:lvl w:ilvl="6">
      <w:numFmt w:val="bullet"/>
      <w:lvlText w:val=""/>
      <w:lvlJc w:val="left"/>
      <w:pPr>
        <w:ind w:left="5535" w:hanging="360"/>
      </w:pPr>
      <w:rPr>
        <w:rFonts w:ascii="Symbol" w:hAnsi="Symbol"/>
      </w:rPr>
    </w:lvl>
    <w:lvl w:ilvl="7">
      <w:numFmt w:val="bullet"/>
      <w:lvlText w:val="o"/>
      <w:lvlJc w:val="left"/>
      <w:pPr>
        <w:ind w:left="6255" w:hanging="360"/>
      </w:pPr>
      <w:rPr>
        <w:rFonts w:ascii="Courier New" w:hAnsi="Courier New" w:cs="Courier New"/>
      </w:rPr>
    </w:lvl>
    <w:lvl w:ilvl="8">
      <w:numFmt w:val="bullet"/>
      <w:lvlText w:val=""/>
      <w:lvlJc w:val="left"/>
      <w:pPr>
        <w:ind w:left="6975" w:hanging="360"/>
      </w:pPr>
      <w:rPr>
        <w:rFonts w:ascii="Wingdings" w:hAnsi="Wingdings"/>
      </w:rPr>
    </w:lvl>
  </w:abstractNum>
  <w:abstractNum w:abstractNumId="22" w15:restartNumberingAfterBreak="0">
    <w:nsid w:val="62BC2009"/>
    <w:multiLevelType w:val="multilevel"/>
    <w:tmpl w:val="5C16526A"/>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3963097"/>
    <w:multiLevelType w:val="multilevel"/>
    <w:tmpl w:val="757C9F6C"/>
    <w:styleLink w:val="WWNum31"/>
    <w:lvl w:ilvl="0">
      <w:numFmt w:val="bullet"/>
      <w:lvlText w:val=""/>
      <w:lvlJc w:val="left"/>
      <w:pPr>
        <w:ind w:left="788" w:hanging="360"/>
      </w:pPr>
      <w:rPr>
        <w:rFonts w:ascii="Symbol" w:hAnsi="Symbol"/>
        <w:color w:val="00000A"/>
      </w:rPr>
    </w:lvl>
    <w:lvl w:ilvl="1">
      <w:numFmt w:val="bullet"/>
      <w:lvlText w:val="o"/>
      <w:lvlJc w:val="left"/>
      <w:pPr>
        <w:ind w:left="1508" w:hanging="360"/>
      </w:pPr>
      <w:rPr>
        <w:rFonts w:ascii="Courier New" w:hAnsi="Courier New" w:cs="Courier New"/>
      </w:rPr>
    </w:lvl>
    <w:lvl w:ilvl="2">
      <w:numFmt w:val="bullet"/>
      <w:lvlText w:val=""/>
      <w:lvlJc w:val="left"/>
      <w:pPr>
        <w:ind w:left="2228" w:hanging="360"/>
      </w:pPr>
      <w:rPr>
        <w:rFonts w:ascii="Wingdings" w:hAnsi="Wingdings"/>
      </w:rPr>
    </w:lvl>
    <w:lvl w:ilvl="3">
      <w:numFmt w:val="bullet"/>
      <w:lvlText w:val=""/>
      <w:lvlJc w:val="left"/>
      <w:pPr>
        <w:ind w:left="2948" w:hanging="360"/>
      </w:pPr>
      <w:rPr>
        <w:rFonts w:ascii="Symbol" w:hAnsi="Symbol"/>
      </w:rPr>
    </w:lvl>
    <w:lvl w:ilvl="4">
      <w:numFmt w:val="bullet"/>
      <w:lvlText w:val="o"/>
      <w:lvlJc w:val="left"/>
      <w:pPr>
        <w:ind w:left="3668" w:hanging="360"/>
      </w:pPr>
      <w:rPr>
        <w:rFonts w:ascii="Courier New" w:hAnsi="Courier New" w:cs="Courier New"/>
      </w:rPr>
    </w:lvl>
    <w:lvl w:ilvl="5">
      <w:numFmt w:val="bullet"/>
      <w:lvlText w:val=""/>
      <w:lvlJc w:val="left"/>
      <w:pPr>
        <w:ind w:left="4388" w:hanging="360"/>
      </w:pPr>
      <w:rPr>
        <w:rFonts w:ascii="Wingdings" w:hAnsi="Wingdings"/>
      </w:rPr>
    </w:lvl>
    <w:lvl w:ilvl="6">
      <w:numFmt w:val="bullet"/>
      <w:lvlText w:val=""/>
      <w:lvlJc w:val="left"/>
      <w:pPr>
        <w:ind w:left="5108" w:hanging="360"/>
      </w:pPr>
      <w:rPr>
        <w:rFonts w:ascii="Symbol" w:hAnsi="Symbol"/>
      </w:rPr>
    </w:lvl>
    <w:lvl w:ilvl="7">
      <w:numFmt w:val="bullet"/>
      <w:lvlText w:val="o"/>
      <w:lvlJc w:val="left"/>
      <w:pPr>
        <w:ind w:left="5828" w:hanging="360"/>
      </w:pPr>
      <w:rPr>
        <w:rFonts w:ascii="Courier New" w:hAnsi="Courier New" w:cs="Courier New"/>
      </w:rPr>
    </w:lvl>
    <w:lvl w:ilvl="8">
      <w:numFmt w:val="bullet"/>
      <w:lvlText w:val=""/>
      <w:lvlJc w:val="left"/>
      <w:pPr>
        <w:ind w:left="6548" w:hanging="360"/>
      </w:pPr>
      <w:rPr>
        <w:rFonts w:ascii="Wingdings" w:hAnsi="Wingdings"/>
      </w:rPr>
    </w:lvl>
  </w:abstractNum>
  <w:abstractNum w:abstractNumId="24" w15:restartNumberingAfterBreak="0">
    <w:nsid w:val="68FA1CC3"/>
    <w:multiLevelType w:val="multilevel"/>
    <w:tmpl w:val="402A156A"/>
    <w:styleLink w:val="WWNum3"/>
    <w:lvl w:ilvl="0">
      <w:numFmt w:val="bullet"/>
      <w:lvlText w:val=""/>
      <w:lvlJc w:val="left"/>
      <w:pPr>
        <w:ind w:left="496" w:hanging="436"/>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5" w15:restartNumberingAfterBreak="0">
    <w:nsid w:val="69D00C23"/>
    <w:multiLevelType w:val="multilevel"/>
    <w:tmpl w:val="7AA4693A"/>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C4C78F0"/>
    <w:multiLevelType w:val="multilevel"/>
    <w:tmpl w:val="CAEAF82E"/>
    <w:styleLink w:val="WWNum15"/>
    <w:lvl w:ilvl="0">
      <w:numFmt w:val="bullet"/>
      <w:lvlText w:val=""/>
      <w:lvlJc w:val="left"/>
      <w:pPr>
        <w:ind w:left="506" w:hanging="436"/>
      </w:pPr>
      <w:rPr>
        <w:rFonts w:ascii="Symbol" w:hAnsi="Symbol"/>
      </w:rPr>
    </w:lvl>
    <w:lvl w:ilvl="1">
      <w:numFmt w:val="bullet"/>
      <w:lvlText w:val="o"/>
      <w:lvlJc w:val="left"/>
      <w:pPr>
        <w:ind w:left="1510" w:hanging="360"/>
      </w:pPr>
      <w:rPr>
        <w:rFonts w:ascii="Courier New" w:hAnsi="Courier New" w:cs="Courier New"/>
      </w:rPr>
    </w:lvl>
    <w:lvl w:ilvl="2">
      <w:numFmt w:val="bullet"/>
      <w:lvlText w:val=""/>
      <w:lvlJc w:val="left"/>
      <w:pPr>
        <w:ind w:left="2230" w:hanging="360"/>
      </w:pPr>
      <w:rPr>
        <w:rFonts w:ascii="Wingdings" w:hAnsi="Wingdings"/>
      </w:rPr>
    </w:lvl>
    <w:lvl w:ilvl="3">
      <w:numFmt w:val="bullet"/>
      <w:lvlText w:val=""/>
      <w:lvlJc w:val="left"/>
      <w:pPr>
        <w:ind w:left="2950" w:hanging="360"/>
      </w:pPr>
      <w:rPr>
        <w:rFonts w:ascii="Symbol" w:hAnsi="Symbol"/>
      </w:rPr>
    </w:lvl>
    <w:lvl w:ilvl="4">
      <w:numFmt w:val="bullet"/>
      <w:lvlText w:val="o"/>
      <w:lvlJc w:val="left"/>
      <w:pPr>
        <w:ind w:left="3670" w:hanging="360"/>
      </w:pPr>
      <w:rPr>
        <w:rFonts w:ascii="Courier New" w:hAnsi="Courier New" w:cs="Courier New"/>
      </w:rPr>
    </w:lvl>
    <w:lvl w:ilvl="5">
      <w:numFmt w:val="bullet"/>
      <w:lvlText w:val=""/>
      <w:lvlJc w:val="left"/>
      <w:pPr>
        <w:ind w:left="4390" w:hanging="360"/>
      </w:pPr>
      <w:rPr>
        <w:rFonts w:ascii="Wingdings" w:hAnsi="Wingdings"/>
      </w:rPr>
    </w:lvl>
    <w:lvl w:ilvl="6">
      <w:numFmt w:val="bullet"/>
      <w:lvlText w:val=""/>
      <w:lvlJc w:val="left"/>
      <w:pPr>
        <w:ind w:left="5110" w:hanging="360"/>
      </w:pPr>
      <w:rPr>
        <w:rFonts w:ascii="Symbol" w:hAnsi="Symbol"/>
      </w:rPr>
    </w:lvl>
    <w:lvl w:ilvl="7">
      <w:numFmt w:val="bullet"/>
      <w:lvlText w:val="o"/>
      <w:lvlJc w:val="left"/>
      <w:pPr>
        <w:ind w:left="5830" w:hanging="360"/>
      </w:pPr>
      <w:rPr>
        <w:rFonts w:ascii="Courier New" w:hAnsi="Courier New" w:cs="Courier New"/>
      </w:rPr>
    </w:lvl>
    <w:lvl w:ilvl="8">
      <w:numFmt w:val="bullet"/>
      <w:lvlText w:val=""/>
      <w:lvlJc w:val="left"/>
      <w:pPr>
        <w:ind w:left="6550" w:hanging="360"/>
      </w:pPr>
      <w:rPr>
        <w:rFonts w:ascii="Wingdings" w:hAnsi="Wingdings"/>
      </w:rPr>
    </w:lvl>
  </w:abstractNum>
  <w:abstractNum w:abstractNumId="27" w15:restartNumberingAfterBreak="0">
    <w:nsid w:val="756A4542"/>
    <w:multiLevelType w:val="multilevel"/>
    <w:tmpl w:val="834EDAC2"/>
    <w:styleLink w:val="WWNum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8" w15:restartNumberingAfterBreak="0">
    <w:nsid w:val="787024C8"/>
    <w:multiLevelType w:val="multilevel"/>
    <w:tmpl w:val="6CF465BE"/>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B473614"/>
    <w:multiLevelType w:val="multilevel"/>
    <w:tmpl w:val="A07642D6"/>
    <w:styleLink w:val="WWNum4"/>
    <w:lvl w:ilvl="0">
      <w:numFmt w:val="bullet"/>
      <w:lvlText w:val=""/>
      <w:lvlJc w:val="left"/>
      <w:pPr>
        <w:ind w:left="556" w:hanging="436"/>
      </w:pPr>
      <w:rPr>
        <w:rFonts w:ascii="Symbol" w:hAnsi="Symbol"/>
      </w:rPr>
    </w:lvl>
    <w:lvl w:ilvl="1">
      <w:numFmt w:val="bullet"/>
      <w:lvlText w:val="o"/>
      <w:lvlJc w:val="left"/>
      <w:pPr>
        <w:ind w:left="1560" w:hanging="360"/>
      </w:pPr>
      <w:rPr>
        <w:rFonts w:ascii="Courier New" w:hAnsi="Courier New" w:cs="Courier New"/>
      </w:rPr>
    </w:lvl>
    <w:lvl w:ilvl="2">
      <w:numFmt w:val="bullet"/>
      <w:lvlText w:val=""/>
      <w:lvlJc w:val="left"/>
      <w:pPr>
        <w:ind w:left="2280" w:hanging="360"/>
      </w:pPr>
      <w:rPr>
        <w:rFonts w:ascii="Wingdings" w:hAnsi="Wingdings"/>
      </w:rPr>
    </w:lvl>
    <w:lvl w:ilvl="3">
      <w:numFmt w:val="bullet"/>
      <w:lvlText w:val=""/>
      <w:lvlJc w:val="left"/>
      <w:pPr>
        <w:ind w:left="3000" w:hanging="360"/>
      </w:pPr>
      <w:rPr>
        <w:rFonts w:ascii="Symbol" w:hAnsi="Symbol"/>
      </w:rPr>
    </w:lvl>
    <w:lvl w:ilvl="4">
      <w:numFmt w:val="bullet"/>
      <w:lvlText w:val="o"/>
      <w:lvlJc w:val="left"/>
      <w:pPr>
        <w:ind w:left="3720" w:hanging="360"/>
      </w:pPr>
      <w:rPr>
        <w:rFonts w:ascii="Courier New" w:hAnsi="Courier New" w:cs="Courier New"/>
      </w:rPr>
    </w:lvl>
    <w:lvl w:ilvl="5">
      <w:numFmt w:val="bullet"/>
      <w:lvlText w:val=""/>
      <w:lvlJc w:val="left"/>
      <w:pPr>
        <w:ind w:left="4440" w:hanging="360"/>
      </w:pPr>
      <w:rPr>
        <w:rFonts w:ascii="Wingdings" w:hAnsi="Wingdings"/>
      </w:rPr>
    </w:lvl>
    <w:lvl w:ilvl="6">
      <w:numFmt w:val="bullet"/>
      <w:lvlText w:val=""/>
      <w:lvlJc w:val="left"/>
      <w:pPr>
        <w:ind w:left="5160" w:hanging="360"/>
      </w:pPr>
      <w:rPr>
        <w:rFonts w:ascii="Symbol" w:hAnsi="Symbol"/>
      </w:rPr>
    </w:lvl>
    <w:lvl w:ilvl="7">
      <w:numFmt w:val="bullet"/>
      <w:lvlText w:val="o"/>
      <w:lvlJc w:val="left"/>
      <w:pPr>
        <w:ind w:left="5880" w:hanging="360"/>
      </w:pPr>
      <w:rPr>
        <w:rFonts w:ascii="Courier New" w:hAnsi="Courier New" w:cs="Courier New"/>
      </w:rPr>
    </w:lvl>
    <w:lvl w:ilvl="8">
      <w:numFmt w:val="bullet"/>
      <w:lvlText w:val=""/>
      <w:lvlJc w:val="left"/>
      <w:pPr>
        <w:ind w:left="6600" w:hanging="360"/>
      </w:pPr>
      <w:rPr>
        <w:rFonts w:ascii="Wingdings" w:hAnsi="Wingdings"/>
      </w:rPr>
    </w:lvl>
  </w:abstractNum>
  <w:abstractNum w:abstractNumId="30" w15:restartNumberingAfterBreak="0">
    <w:nsid w:val="7D212715"/>
    <w:multiLevelType w:val="multilevel"/>
    <w:tmpl w:val="F190C300"/>
    <w:styleLink w:val="WWNum13"/>
    <w:lvl w:ilvl="0">
      <w:start w:val="6"/>
      <w:numFmt w:val="decimal"/>
      <w:lvlText w:val="%1."/>
      <w:lvlJc w:val="left"/>
      <w:pPr>
        <w:ind w:left="720" w:hanging="360"/>
      </w:pPr>
      <w:rPr>
        <w:b w:val="0"/>
        <w:sz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7"/>
  </w:num>
  <w:num w:numId="2">
    <w:abstractNumId w:val="9"/>
  </w:num>
  <w:num w:numId="3">
    <w:abstractNumId w:val="24"/>
  </w:num>
  <w:num w:numId="4">
    <w:abstractNumId w:val="29"/>
  </w:num>
  <w:num w:numId="5">
    <w:abstractNumId w:val="14"/>
  </w:num>
  <w:num w:numId="6">
    <w:abstractNumId w:val="25"/>
  </w:num>
  <w:num w:numId="7">
    <w:abstractNumId w:val="10"/>
  </w:num>
  <w:num w:numId="8">
    <w:abstractNumId w:val="19"/>
  </w:num>
  <w:num w:numId="9">
    <w:abstractNumId w:val="12"/>
  </w:num>
  <w:num w:numId="10">
    <w:abstractNumId w:val="5"/>
  </w:num>
  <w:num w:numId="11">
    <w:abstractNumId w:val="22"/>
  </w:num>
  <w:num w:numId="12">
    <w:abstractNumId w:val="0"/>
  </w:num>
  <w:num w:numId="13">
    <w:abstractNumId w:val="30"/>
  </w:num>
  <w:num w:numId="14">
    <w:abstractNumId w:val="8"/>
  </w:num>
  <w:num w:numId="15">
    <w:abstractNumId w:val="26"/>
  </w:num>
  <w:num w:numId="16">
    <w:abstractNumId w:val="13"/>
  </w:num>
  <w:num w:numId="17">
    <w:abstractNumId w:val="4"/>
  </w:num>
  <w:num w:numId="18">
    <w:abstractNumId w:val="27"/>
  </w:num>
  <w:num w:numId="19">
    <w:abstractNumId w:val="21"/>
  </w:num>
  <w:num w:numId="20">
    <w:abstractNumId w:val="17"/>
  </w:num>
  <w:num w:numId="21">
    <w:abstractNumId w:val="6"/>
  </w:num>
  <w:num w:numId="22">
    <w:abstractNumId w:val="3"/>
  </w:num>
  <w:num w:numId="23">
    <w:abstractNumId w:val="1"/>
  </w:num>
  <w:num w:numId="24">
    <w:abstractNumId w:val="2"/>
  </w:num>
  <w:num w:numId="25">
    <w:abstractNumId w:val="20"/>
  </w:num>
  <w:num w:numId="26">
    <w:abstractNumId w:val="18"/>
  </w:num>
  <w:num w:numId="27">
    <w:abstractNumId w:val="28"/>
  </w:num>
  <w:num w:numId="28">
    <w:abstractNumId w:val="15"/>
  </w:num>
  <w:num w:numId="29">
    <w:abstractNumId w:val="16"/>
  </w:num>
  <w:num w:numId="30">
    <w:abstractNumId w:val="11"/>
  </w:num>
  <w:num w:numId="31">
    <w:abstractNumId w:val="23"/>
  </w:num>
  <w:num w:numId="32">
    <w:abstractNumId w:val="19"/>
  </w:num>
  <w:num w:numId="33">
    <w:abstractNumId w:val="28"/>
  </w:num>
  <w:num w:numId="34">
    <w:abstractNumId w:val="15"/>
  </w:num>
  <w:num w:numId="35">
    <w:abstractNumId w:val="5"/>
    <w:lvlOverride w:ilvl="0">
      <w:startOverride w:val="4"/>
    </w:lvlOverride>
  </w:num>
  <w:num w:numId="36">
    <w:abstractNumId w:val="18"/>
  </w:num>
  <w:num w:numId="37">
    <w:abstractNumId w:val="20"/>
  </w:num>
  <w:num w:numId="38">
    <w:abstractNumId w:val="2"/>
  </w:num>
  <w:num w:numId="39">
    <w:abstractNumId w:val="11"/>
  </w:num>
  <w:num w:numId="40">
    <w:abstractNumId w:val="17"/>
  </w:num>
  <w:num w:numId="41">
    <w:abstractNumId w:val="1"/>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F1"/>
    <w:rsid w:val="00386CEE"/>
    <w:rsid w:val="00924AFA"/>
    <w:rsid w:val="00A67040"/>
    <w:rsid w:val="00BA6FF1"/>
    <w:rsid w:val="00BC49A0"/>
    <w:rsid w:val="00CA5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391B"/>
  <w15:docId w15:val="{70947E15-6061-40DC-AAD7-72F4AC2D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Calibri"/>
        <w:kern w:val="3"/>
        <w:sz w:val="22"/>
        <w:szCs w:val="22"/>
        <w:lang w:val="en-GB"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Textbody"/>
    <w:pPr>
      <w:keepNext/>
      <w:spacing w:before="240" w:after="60"/>
      <w:outlineLvl w:val="0"/>
    </w:pPr>
    <w:rPr>
      <w:b/>
      <w:bCs/>
      <w:sz w:val="32"/>
      <w:szCs w:val="32"/>
    </w:rPr>
  </w:style>
  <w:style w:type="paragraph" w:styleId="Heading2">
    <w:name w:val="heading 2"/>
    <w:basedOn w:val="Standard"/>
    <w:next w:val="Textbody"/>
    <w:pPr>
      <w:keepNext/>
      <w:spacing w:before="240" w:after="60"/>
      <w:outlineLvl w:val="1"/>
    </w:pPr>
    <w:rPr>
      <w:b/>
      <w:bCs/>
      <w:iCs/>
      <w:sz w:val="28"/>
      <w:szCs w:val="28"/>
    </w:rPr>
  </w:style>
  <w:style w:type="paragraph" w:styleId="Heading3">
    <w:name w:val="heading 3"/>
    <w:basedOn w:val="Standard"/>
    <w:next w:val="Textbody"/>
    <w:pPr>
      <w:keepNext/>
      <w:spacing w:before="240" w:after="60"/>
      <w:outlineLvl w:val="2"/>
    </w:pPr>
    <w:rPr>
      <w:b/>
      <w:bCs/>
      <w:sz w:val="26"/>
      <w:szCs w:val="26"/>
    </w:rPr>
  </w:style>
  <w:style w:type="paragraph" w:styleId="Heading4">
    <w:name w:val="heading 4"/>
    <w:basedOn w:val="Standard"/>
    <w:next w:val="Textbody"/>
    <w:pPr>
      <w:keepNext/>
      <w:spacing w:before="240" w:after="60"/>
      <w:outlineLvl w:val="3"/>
    </w:pPr>
    <w:rPr>
      <w:rFont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0" w:line="240" w:lineRule="auto"/>
    </w:pPr>
    <w:rPr>
      <w:rFonts w:ascii="Arial" w:eastAsia="Times New Roman" w:hAnsi="Arial" w:cs="Arial"/>
      <w:sz w:val="24"/>
      <w:szCs w:val="24"/>
    </w:rPr>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basedOn w:val="Standard"/>
    <w:pPr>
      <w:ind w:left="720"/>
    </w:pPr>
  </w:style>
  <w:style w:type="paragraph" w:styleId="BalloonText">
    <w:name w:val="Balloon Text"/>
    <w:basedOn w:val="Standard"/>
    <w:rPr>
      <w:rFonts w:ascii="Segoe UI" w:hAnsi="Segoe UI" w:cs="Segoe UI"/>
      <w:sz w:val="18"/>
      <w:szCs w:val="18"/>
    </w:rPr>
  </w:style>
  <w:style w:type="character" w:customStyle="1" w:styleId="Heading1Char">
    <w:name w:val="Heading 1 Char"/>
    <w:basedOn w:val="DefaultParagraphFont"/>
    <w:rPr>
      <w:rFonts w:ascii="Arial" w:eastAsia="Times New Roman" w:hAnsi="Arial" w:cs="Arial"/>
      <w:b/>
      <w:bCs/>
      <w:kern w:val="3"/>
      <w:sz w:val="32"/>
      <w:szCs w:val="32"/>
    </w:rPr>
  </w:style>
  <w:style w:type="character" w:customStyle="1" w:styleId="Heading2Char">
    <w:name w:val="Heading 2 Char"/>
    <w:basedOn w:val="DefaultParagraphFont"/>
    <w:rPr>
      <w:rFonts w:ascii="Arial" w:eastAsia="Times New Roman" w:hAnsi="Arial" w:cs="Arial"/>
      <w:b/>
      <w:bCs/>
      <w:iCs/>
      <w:sz w:val="28"/>
      <w:szCs w:val="28"/>
    </w:rPr>
  </w:style>
  <w:style w:type="character" w:customStyle="1" w:styleId="Heading3Char">
    <w:name w:val="Heading 3 Char"/>
    <w:basedOn w:val="DefaultParagraphFont"/>
    <w:rPr>
      <w:rFonts w:ascii="Arial" w:eastAsia="Times New Roman" w:hAnsi="Arial" w:cs="Arial"/>
      <w:b/>
      <w:bCs/>
      <w:sz w:val="26"/>
      <w:szCs w:val="26"/>
    </w:rPr>
  </w:style>
  <w:style w:type="character" w:customStyle="1" w:styleId="Heading4Char">
    <w:name w:val="Heading 4 Char"/>
    <w:basedOn w:val="DefaultParagraphFont"/>
    <w:rPr>
      <w:rFonts w:ascii="Arial" w:eastAsia="Times New Roman" w:hAnsi="Arial" w:cs="Times New Roman"/>
      <w:b/>
      <w:bCs/>
      <w:sz w:val="24"/>
      <w:szCs w:val="28"/>
    </w:rPr>
  </w:style>
  <w:style w:type="character" w:customStyle="1" w:styleId="Internetlink">
    <w:name w:val="Internet link"/>
    <w:rPr>
      <w:color w:val="0000FF"/>
      <w:u w:val="single"/>
    </w:rPr>
  </w:style>
  <w:style w:type="character" w:customStyle="1" w:styleId="BalloonTextChar">
    <w:name w:val="Balloon Text Char"/>
    <w:basedOn w:val="DefaultParagraphFont"/>
    <w:rPr>
      <w:rFonts w:ascii="Segoe UI" w:eastAsia="Times New Roman" w:hAnsi="Segoe UI" w:cs="Segoe UI"/>
      <w:sz w:val="18"/>
      <w:szCs w:val="18"/>
    </w:rPr>
  </w:style>
  <w:style w:type="character" w:styleId="FollowedHyperlink">
    <w:name w:val="FollowedHyperlink"/>
    <w:basedOn w:val="DefaultParagraphFont"/>
    <w:rPr>
      <w:color w:val="954F72"/>
      <w:u w:val="single"/>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b w:val="0"/>
      <w:sz w:val="28"/>
    </w:rPr>
  </w:style>
  <w:style w:type="character" w:customStyle="1" w:styleId="ListLabel4">
    <w:name w:val="ListLabel 4"/>
    <w:rPr>
      <w:b/>
    </w:rPr>
  </w:style>
  <w:style w:type="character" w:customStyle="1" w:styleId="ListLabel5">
    <w:name w:val="ListLabel 5"/>
    <w:rPr>
      <w:sz w:val="20"/>
    </w:rPr>
  </w:style>
  <w:style w:type="character" w:customStyle="1" w:styleId="ListLabel6">
    <w:name w:val="ListLabel 6"/>
    <w:rPr>
      <w:color w:val="00000A"/>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qualityhumanrights.com/advice-and-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Hampton</dc:creator>
  <cp:lastModifiedBy>Colin Hampton</cp:lastModifiedBy>
  <cp:revision>3</cp:revision>
  <cp:lastPrinted>2016-10-21T07:07:00Z</cp:lastPrinted>
  <dcterms:created xsi:type="dcterms:W3CDTF">2016-06-28T09:54:00Z</dcterms:created>
  <dcterms:modified xsi:type="dcterms:W3CDTF">2026-06-01T10:19:00Z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